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99DD" w14:textId="77777777" w:rsidR="00AD2223" w:rsidRDefault="00AD2223"/>
    <w:p w14:paraId="31AC24A2" w14:textId="646F4AF8" w:rsidR="00BE6E27" w:rsidRDefault="00BE6E27"/>
    <w:p w14:paraId="61F5EE2D" w14:textId="77777777" w:rsidR="00BE6E27" w:rsidRDefault="00BE6E27" w:rsidP="00BE6E27">
      <w:pPr>
        <w:spacing w:after="0" w:line="240" w:lineRule="auto"/>
      </w:pPr>
    </w:p>
    <w:p w14:paraId="32B5C632" w14:textId="77777777" w:rsidR="00BE6E27" w:rsidRPr="00BE6E27" w:rsidRDefault="00BE6E27" w:rsidP="00BE6E27">
      <w:pPr>
        <w:spacing w:after="0" w:line="240" w:lineRule="auto"/>
        <w:rPr>
          <w:b/>
          <w:bCs/>
          <w:sz w:val="32"/>
          <w:szCs w:val="32"/>
        </w:rPr>
      </w:pPr>
      <w:r>
        <w:rPr>
          <w:b/>
          <w:sz w:val="32"/>
        </w:rPr>
        <w:t>Samtec erweitert Produktpalette mit Severe Environment Testing (SET)</w:t>
      </w:r>
    </w:p>
    <w:p w14:paraId="02814316" w14:textId="77777777" w:rsidR="00BE6E27" w:rsidRPr="00BE6E27" w:rsidRDefault="00BE6E27" w:rsidP="00BE6E27">
      <w:pPr>
        <w:spacing w:after="0" w:line="240" w:lineRule="auto"/>
      </w:pPr>
    </w:p>
    <w:p w14:paraId="33F74B14" w14:textId="7A520377" w:rsidR="00BE6E27" w:rsidRPr="00BE6E27" w:rsidRDefault="00BE6E27" w:rsidP="00BE6E27">
      <w:pPr>
        <w:spacing w:after="0" w:line="240" w:lineRule="auto"/>
        <w:rPr>
          <w:i/>
          <w:iCs/>
        </w:rPr>
      </w:pPr>
      <w:r>
        <w:rPr>
          <w:i/>
        </w:rPr>
        <w:t>Zwei weitere Produktlinien von Samtec erfüllen oder übertreffen Anforderungen von SET-Standards.</w:t>
      </w:r>
    </w:p>
    <w:p w14:paraId="31081EED" w14:textId="77777777" w:rsidR="00BE6E27" w:rsidRPr="00BE6E27" w:rsidRDefault="00BE6E27" w:rsidP="00BE6E27">
      <w:pPr>
        <w:spacing w:after="0" w:line="240" w:lineRule="auto"/>
      </w:pPr>
    </w:p>
    <w:p w14:paraId="24C27CDC" w14:textId="77777777" w:rsidR="00954A01" w:rsidRDefault="006422E7" w:rsidP="00BE6E27">
      <w:pPr>
        <w:spacing w:after="0" w:line="240" w:lineRule="auto"/>
      </w:pPr>
      <w:r>
        <w:rPr>
          <w:b/>
        </w:rPr>
        <w:t>[New Albany, Indiana (USA)]</w:t>
      </w:r>
      <w:r>
        <w:t xml:space="preserve"> – Samtec, Inc., der Anbieter mit führendem Service in der Steckverbinderbranche, hat bekanntgegeben, dass jetzt zwei weitere Produktlinien die Qualitätsanforderungen des Severe Environment Testing (SET) erfüllen oder übertreffen.  </w:t>
      </w:r>
    </w:p>
    <w:p w14:paraId="3A59FE73" w14:textId="77777777" w:rsidR="00954A01" w:rsidRDefault="00954A01" w:rsidP="00BE6E27">
      <w:pPr>
        <w:spacing w:after="0" w:line="240" w:lineRule="auto"/>
      </w:pPr>
    </w:p>
    <w:p w14:paraId="2C878164" w14:textId="3072CC77" w:rsidR="00954A01" w:rsidRPr="00BE6E27" w:rsidRDefault="00954A01" w:rsidP="00954A01">
      <w:pPr>
        <w:spacing w:after="0" w:line="240" w:lineRule="auto"/>
      </w:pPr>
      <w:r>
        <w:t>Die neuesten SET-Erweiterungen sind die äußerst robusten I/O-Kabelkonfektionssysteme der Produktreihe URSA® und die Kabel-zu-Leiterplatte-Systeme Tiger Eye™ im Rastermaß 1,27 mm.</w:t>
      </w:r>
    </w:p>
    <w:p w14:paraId="2D5EE517" w14:textId="77777777" w:rsidR="00954A01" w:rsidRDefault="00954A01" w:rsidP="00BE6E27">
      <w:pPr>
        <w:spacing w:after="0" w:line="240" w:lineRule="auto"/>
      </w:pPr>
    </w:p>
    <w:p w14:paraId="2AFD4B04" w14:textId="2F3DCD74" w:rsidR="00BE6E27" w:rsidRPr="00BE6E27" w:rsidRDefault="0056292B" w:rsidP="00BE6E27">
      <w:pPr>
        <w:spacing w:after="0" w:line="240" w:lineRule="auto"/>
      </w:pPr>
      <w:r>
        <w:t>SET ist eine Initiative von Samtec, bei der bestimmte Produkte über die typischen Standards und Vorgaben der Branche in Bezug auf Qualität und Langlebigkeit hinaus geprüft werden. Vor dem Hintergrund des Bedarfs für hochfunktionale Verbindungen nach handelsüblichem Standard hat sich SET als vorteilhaft für das Vertrauen in die Leistungsfähigkeit erwiesen – nicht nur für robuste wehr- sowie luft- und raumfahrttechnische Anwendungen, sondern auch für Applikationen in den Bereichen Automotive, Industrie und Medizin.</w:t>
      </w:r>
    </w:p>
    <w:p w14:paraId="52339691" w14:textId="77777777" w:rsidR="00BE6E27" w:rsidRPr="00BE6E27" w:rsidRDefault="00BE6E27" w:rsidP="00BE6E27">
      <w:pPr>
        <w:spacing w:after="0" w:line="240" w:lineRule="auto"/>
      </w:pPr>
    </w:p>
    <w:p w14:paraId="202428C5" w14:textId="23398960" w:rsidR="00BE6E27" w:rsidRPr="00BE6E27" w:rsidRDefault="00BE6E27" w:rsidP="00BE6E27">
      <w:pPr>
        <w:spacing w:after="0" w:line="240" w:lineRule="auto"/>
      </w:pPr>
      <w:r>
        <w:t>Das Severe Environment Testing (SET) umfasst das standardmäßige Design Qualification Testing (DQT) und das Extended Life Product™ (E.L.P) Testing von Samtec, sowie zusätzliche Tests für Verbindungssysteme, die für extremere/rauere Anwendungen oder Umgebungen konzipiert sind.</w:t>
      </w:r>
    </w:p>
    <w:p w14:paraId="263CDD38" w14:textId="77777777" w:rsidR="00BE6E27" w:rsidRPr="00BE6E27" w:rsidRDefault="00BE6E27" w:rsidP="00BE6E27">
      <w:pPr>
        <w:spacing w:after="0" w:line="240" w:lineRule="auto"/>
      </w:pPr>
    </w:p>
    <w:p w14:paraId="07FF640C" w14:textId="6CFAC820" w:rsidR="00BE6E27" w:rsidRPr="00BE6E27" w:rsidRDefault="00571114" w:rsidP="00BE6E27">
      <w:pPr>
        <w:spacing w:after="0" w:line="240" w:lineRule="auto"/>
      </w:pPr>
      <w:r>
        <w:t>Hier ist insbesondere bemerkenswert, dass SET-Produkte von Samtec für NASA Class D-Missionen zugelassen sind, die hoch zuverlässige und kosteneffektive Lösungen mit kurzer Umsetzungsdauer für LEO- und Klein-Satelliten sowie CubeSats und sonstigen satellitengestützten Erkundungsanwendungen erfordern.</w:t>
      </w:r>
    </w:p>
    <w:p w14:paraId="6BADC466" w14:textId="77777777" w:rsidR="00BE6E27" w:rsidRPr="00BE6E27" w:rsidRDefault="00BE6E27" w:rsidP="00BE6E27">
      <w:pPr>
        <w:spacing w:after="0" w:line="240" w:lineRule="auto"/>
      </w:pPr>
    </w:p>
    <w:p w14:paraId="0454650F" w14:textId="77777777" w:rsidR="00BE6E27" w:rsidRPr="00BE6E27" w:rsidRDefault="00BE6E27" w:rsidP="00BE6E27">
      <w:pPr>
        <w:spacing w:after="0" w:line="240" w:lineRule="auto"/>
      </w:pPr>
      <w:r>
        <w:t xml:space="preserve">Ob bestimmte Produkte die Prüfbedingungen nach ASTM E595-77/84/90 erfüllen, bestimmt Samtec anhand von Daten zur Ausgasung von der NASA. Weitere Informationen finden Sie in den </w:t>
      </w:r>
      <w:hyperlink r:id="rId5" w:tgtFrame="_blank" w:history="1">
        <w:r>
          <w:rPr>
            <w:rStyle w:val="Hyperlink"/>
          </w:rPr>
          <w:t>FAQs zum Ausgasen</w:t>
        </w:r>
      </w:hyperlink>
      <w:r>
        <w:t xml:space="preserve"> von Samtec.</w:t>
      </w:r>
    </w:p>
    <w:p w14:paraId="34B5A86C" w14:textId="77777777" w:rsidR="00BE6E27" w:rsidRPr="00BE6E27" w:rsidRDefault="00BE6E27" w:rsidP="00BE6E27">
      <w:pPr>
        <w:spacing w:after="0" w:line="240" w:lineRule="auto"/>
      </w:pPr>
    </w:p>
    <w:p w14:paraId="380B0503" w14:textId="77777777" w:rsidR="00BE6E27" w:rsidRPr="00BE6E27" w:rsidRDefault="00BE6E27" w:rsidP="00BE6E27">
      <w:pPr>
        <w:spacing w:after="0" w:line="240" w:lineRule="auto"/>
      </w:pPr>
      <w:r>
        <w:t>Die SET-Produkte von Samtec werden u. a. folgenden Prüfungen unterzogen:</w:t>
      </w:r>
    </w:p>
    <w:p w14:paraId="19CC0C66" w14:textId="77777777" w:rsidR="00BE6E27" w:rsidRPr="00BE6E27" w:rsidRDefault="00BE6E27" w:rsidP="00BE6E27">
      <w:pPr>
        <w:numPr>
          <w:ilvl w:val="0"/>
          <w:numId w:val="1"/>
        </w:numPr>
        <w:spacing w:after="0" w:line="240" w:lineRule="auto"/>
      </w:pPr>
      <w:r>
        <w:t>10 Jahre Korrosionsprüfung mit strömendem Mischgas (MFG)</w:t>
      </w:r>
    </w:p>
    <w:p w14:paraId="44046365" w14:textId="77777777" w:rsidR="00BE6E27" w:rsidRPr="00BE6E27" w:rsidRDefault="00BE6E27" w:rsidP="00BE6E27">
      <w:pPr>
        <w:numPr>
          <w:ilvl w:val="0"/>
          <w:numId w:val="1"/>
        </w:numPr>
        <w:spacing w:after="0" w:line="240" w:lineRule="auto"/>
      </w:pPr>
      <w:r>
        <w:t>Hohe Steckzyklenzahl (250 bis 2500)</w:t>
      </w:r>
    </w:p>
    <w:p w14:paraId="7765F853" w14:textId="77777777" w:rsidR="00BE6E27" w:rsidRPr="00BE6E27" w:rsidRDefault="00BE6E27" w:rsidP="00BE6E27">
      <w:pPr>
        <w:numPr>
          <w:ilvl w:val="0"/>
          <w:numId w:val="1"/>
        </w:numPr>
        <w:spacing w:after="0" w:line="240" w:lineRule="auto"/>
      </w:pPr>
      <w:r>
        <w:lastRenderedPageBreak/>
        <w:t>Höhere Steckzyklenzahl bei 100 % Feuchte</w:t>
      </w:r>
    </w:p>
    <w:p w14:paraId="1DF471CE" w14:textId="77777777" w:rsidR="00BE6E27" w:rsidRPr="00BE6E27" w:rsidRDefault="00BE6E27" w:rsidP="00BE6E27">
      <w:pPr>
        <w:numPr>
          <w:ilvl w:val="0"/>
          <w:numId w:val="1"/>
        </w:numPr>
        <w:spacing w:after="0" w:line="240" w:lineRule="auto"/>
      </w:pPr>
      <w:r>
        <w:t>Intensive Stoß- und Schwingbeanspruchung: Low Level Contact Resistance (20 mV/100 mA) und Ereigniserkennung</w:t>
      </w:r>
    </w:p>
    <w:p w14:paraId="45BEA3CF" w14:textId="77777777" w:rsidR="00BE6E27" w:rsidRPr="00BE6E27" w:rsidRDefault="00BE6E27" w:rsidP="00BE6E27">
      <w:pPr>
        <w:numPr>
          <w:ilvl w:val="0"/>
          <w:numId w:val="1"/>
        </w:numPr>
        <w:spacing w:after="0" w:line="240" w:lineRule="auto"/>
      </w:pPr>
      <w:r>
        <w:t>Transport-/Lagertemperatur</w:t>
      </w:r>
    </w:p>
    <w:p w14:paraId="3D9F09FA" w14:textId="77777777" w:rsidR="00BE6E27" w:rsidRPr="00BE6E27" w:rsidRDefault="00BE6E27" w:rsidP="00BE6E27">
      <w:pPr>
        <w:numPr>
          <w:ilvl w:val="0"/>
          <w:numId w:val="1"/>
        </w:numPr>
        <w:spacing w:after="0" w:line="240" w:lineRule="auto"/>
      </w:pPr>
      <w:r>
        <w:t>Durchschlagfestigkeit in der Höhe (70.000 Fuß)</w:t>
      </w:r>
    </w:p>
    <w:p w14:paraId="194E8421" w14:textId="77777777" w:rsidR="00BE6E27" w:rsidRPr="00BE6E27" w:rsidRDefault="00BE6E27" w:rsidP="00BE6E27">
      <w:pPr>
        <w:numPr>
          <w:ilvl w:val="0"/>
          <w:numId w:val="1"/>
        </w:numPr>
        <w:spacing w:after="0" w:line="240" w:lineRule="auto"/>
      </w:pPr>
      <w:r>
        <w:t>Elektrostatische Entladung (ESD)</w:t>
      </w:r>
    </w:p>
    <w:p w14:paraId="742FA453" w14:textId="77777777" w:rsidR="00BE6E27" w:rsidRPr="00BE6E27" w:rsidRDefault="00BE6E27" w:rsidP="00BE6E27">
      <w:pPr>
        <w:numPr>
          <w:ilvl w:val="0"/>
          <w:numId w:val="1"/>
        </w:numPr>
        <w:spacing w:after="0" w:line="240" w:lineRule="auto"/>
      </w:pPr>
      <w:r>
        <w:t>VITA™ 47.1 Moduleinbau in bestehendes System</w:t>
      </w:r>
    </w:p>
    <w:p w14:paraId="62C00926" w14:textId="77777777" w:rsidR="00BE6E27" w:rsidRPr="00BE6E27" w:rsidRDefault="00BE6E27" w:rsidP="00BE6E27">
      <w:pPr>
        <w:numPr>
          <w:ilvl w:val="0"/>
          <w:numId w:val="1"/>
        </w:numPr>
        <w:spacing w:after="0" w:line="240" w:lineRule="auto"/>
      </w:pPr>
      <w:r>
        <w:t>VITA™ 47.3 Feuchte</w:t>
      </w:r>
    </w:p>
    <w:p w14:paraId="7C2BE086" w14:textId="77777777" w:rsidR="00BE6E27" w:rsidRPr="00BE6E27" w:rsidRDefault="00BE6E27" w:rsidP="00BE6E27">
      <w:pPr>
        <w:numPr>
          <w:ilvl w:val="0"/>
          <w:numId w:val="1"/>
        </w:numPr>
        <w:spacing w:after="0" w:line="240" w:lineRule="auto"/>
      </w:pPr>
      <w:r>
        <w:t>VITA™ 47.1 Stoß im Betrieb Class OS2</w:t>
      </w:r>
    </w:p>
    <w:p w14:paraId="3A518032" w14:textId="77777777" w:rsidR="00BE6E27" w:rsidRPr="00BE6E27" w:rsidRDefault="00BE6E27" w:rsidP="00BE6E27">
      <w:pPr>
        <w:numPr>
          <w:ilvl w:val="0"/>
          <w:numId w:val="1"/>
        </w:numPr>
        <w:spacing w:after="0" w:line="240" w:lineRule="auto"/>
      </w:pPr>
      <w:r>
        <w:t>VITA™ 47.1 Vibration Class VS3</w:t>
      </w:r>
    </w:p>
    <w:p w14:paraId="63AFE065" w14:textId="77777777" w:rsidR="00BE6E27" w:rsidRPr="00BE6E27" w:rsidRDefault="00BE6E27" w:rsidP="00BE6E27">
      <w:pPr>
        <w:numPr>
          <w:ilvl w:val="0"/>
          <w:numId w:val="1"/>
        </w:numPr>
        <w:spacing w:after="0" w:line="240" w:lineRule="auto"/>
      </w:pPr>
      <w:r>
        <w:t>Übertrifft VITA™ 47.1 Temperaturwechsel Class C4</w:t>
      </w:r>
    </w:p>
    <w:p w14:paraId="6D40618C" w14:textId="77777777" w:rsidR="00BE6E27" w:rsidRPr="00BE6E27" w:rsidRDefault="00BE6E27" w:rsidP="00BE6E27">
      <w:pPr>
        <w:numPr>
          <w:ilvl w:val="0"/>
          <w:numId w:val="1"/>
        </w:numPr>
        <w:spacing w:after="0" w:line="240" w:lineRule="auto"/>
      </w:pPr>
      <w:r>
        <w:t>Übertrifft VITA™ 47.1 Transport-/Lagertemperatur Class C4</w:t>
      </w:r>
    </w:p>
    <w:p w14:paraId="59EB3669" w14:textId="77777777" w:rsidR="00BE6E27" w:rsidRPr="00BE6E27" w:rsidRDefault="00BE6E27" w:rsidP="00BE6E27">
      <w:pPr>
        <w:numPr>
          <w:ilvl w:val="0"/>
          <w:numId w:val="1"/>
        </w:numPr>
        <w:spacing w:after="0" w:line="240" w:lineRule="auto"/>
      </w:pPr>
      <w:r>
        <w:t>VITA™ 47.1 Festigkeit gegen elektrostatische Entladung</w:t>
      </w:r>
    </w:p>
    <w:p w14:paraId="2F935268" w14:textId="77777777" w:rsidR="00BE6E27" w:rsidRPr="00BE6E27" w:rsidRDefault="00BE6E27" w:rsidP="00BE6E27">
      <w:pPr>
        <w:numPr>
          <w:ilvl w:val="0"/>
          <w:numId w:val="1"/>
        </w:numPr>
        <w:spacing w:after="0" w:line="240" w:lineRule="auto"/>
      </w:pPr>
      <w:r>
        <w:t>Übertrifft Höhe für VITA™ 47.1 Durchschlagfestigkeit in der Höhe</w:t>
      </w:r>
    </w:p>
    <w:p w14:paraId="41CD27B6" w14:textId="77777777" w:rsidR="00BE6E27" w:rsidRPr="00BE6E27" w:rsidRDefault="00BE6E27" w:rsidP="00BE6E27">
      <w:pPr>
        <w:spacing w:after="0" w:line="240" w:lineRule="auto"/>
      </w:pPr>
    </w:p>
    <w:p w14:paraId="1BF2498C" w14:textId="77777777" w:rsidR="00BE6E27" w:rsidRDefault="00BE6E27" w:rsidP="00BE6E27">
      <w:pPr>
        <w:spacing w:after="0" w:line="240" w:lineRule="auto"/>
      </w:pPr>
      <w:r>
        <w:t xml:space="preserve">Weiterführende Informationen finden Sie auf </w:t>
      </w:r>
      <w:hyperlink r:id="rId6" w:history="1">
        <w:r>
          <w:rPr>
            <w:rStyle w:val="Hyperlink"/>
          </w:rPr>
          <w:t>www.samtec.com/SET</w:t>
        </w:r>
      </w:hyperlink>
      <w:r>
        <w:t xml:space="preserve"> </w:t>
      </w:r>
    </w:p>
    <w:p w14:paraId="264C010F" w14:textId="60F7C29F" w:rsidR="00BE6E27" w:rsidRPr="00BE6E27" w:rsidRDefault="00BE6E27" w:rsidP="00BE6E27">
      <w:pPr>
        <w:spacing w:after="0" w:line="240" w:lineRule="auto"/>
      </w:pPr>
      <w:r>
        <w:t> </w:t>
      </w:r>
    </w:p>
    <w:p w14:paraId="4CD16E58" w14:textId="77777777" w:rsidR="00BE6E27" w:rsidRPr="00BE6E27" w:rsidRDefault="00BE6E27" w:rsidP="00BE6E27">
      <w:pPr>
        <w:spacing w:after="0" w:line="240" w:lineRule="auto"/>
        <w:rPr>
          <w:b/>
          <w:bCs/>
        </w:rPr>
      </w:pPr>
      <w:r>
        <w:rPr>
          <w:b/>
        </w:rPr>
        <w:t>Über Samtec</w:t>
      </w:r>
    </w:p>
    <w:p w14:paraId="19831444" w14:textId="77777777" w:rsidR="00BE6E27" w:rsidRPr="00BE6E27" w:rsidRDefault="00BE6E27" w:rsidP="00BE6E27">
      <w:pPr>
        <w:spacing w:after="0" w:line="240" w:lineRule="auto"/>
      </w:pPr>
    </w:p>
    <w:p w14:paraId="54AD3690" w14:textId="3EB1B742" w:rsidR="00BE6E27" w:rsidRDefault="00BE6E27" w:rsidP="00BE6E27">
      <w:pPr>
        <w:spacing w:after="0" w:line="240" w:lineRule="auto"/>
      </w:pPr>
      <w:r>
        <w:t xml:space="preserve">Das 1976 gegründete Privatunternehmen Samtec mit einem Jahresumsatz von einer Milliarde US-Dollar ist ein weltweit tätiger Hersteller einer breit gefächerten Palette elektronischer Verbindungslösungen. Dazu gehören Hochgeschwindigkeits-B2B-Steckverbinder und -kabel, optische Mid-Board- und Panel-Einheiten, Verbinder mit flexibler Steckhöhe, robuste Bauelemente und Kabel im Mikroformat sowie präzise HF-Technik. In unseren Samtec Technology Centers werden Technologien, Strategien und Produkte entwickelt und weiterentwickelt, um sowohl die Leistung als auch die Kosten eines Systems vom nackten Chip bis zu einer 100 Meter entfernten Schnittstelle zu optimieren – und für alle Verbindungspunkte dazwischen. Die globale Präsenz von Samtec an über 40 internationalen Standorten mit einem Produktverkauf in mehr als 125 Ländern macht den unerreichten Kundendienst des Unternehmens möglich. Weiterführende Informationen finden Sie auf </w:t>
      </w:r>
      <w:hyperlink r:id="rId7" w:tgtFrame="_blank" w:history="1">
        <w:r>
          <w:rPr>
            <w:rStyle w:val="Hyperlink"/>
          </w:rPr>
          <w:t>http://www.samtec.com</w:t>
        </w:r>
      </w:hyperlink>
      <w:r>
        <w:t>.</w:t>
      </w:r>
    </w:p>
    <w:p w14:paraId="49D2B394" w14:textId="77777777" w:rsidR="00BE6E27" w:rsidRPr="00BE6E27" w:rsidRDefault="00BE6E27" w:rsidP="00BE6E27">
      <w:pPr>
        <w:spacing w:after="0" w:line="240" w:lineRule="auto"/>
      </w:pPr>
    </w:p>
    <w:p w14:paraId="1413258E" w14:textId="77777777" w:rsidR="00BE6E27" w:rsidRPr="00BE6E27" w:rsidRDefault="00BE6E27" w:rsidP="00BE6E27">
      <w:pPr>
        <w:spacing w:after="0" w:line="240" w:lineRule="auto"/>
      </w:pPr>
      <w:r>
        <w:rPr>
          <w:b/>
        </w:rPr>
        <w:t>Samtec, Inc.</w:t>
      </w:r>
      <w:r>
        <w:rPr>
          <w:b/>
        </w:rPr>
        <w:br/>
        <w:t>P.O. Box 1147</w:t>
      </w:r>
      <w:r>
        <w:rPr>
          <w:b/>
        </w:rPr>
        <w:br/>
        <w:t>New Albany, IN 47151-1147</w:t>
      </w:r>
      <w:r>
        <w:rPr>
          <w:b/>
        </w:rPr>
        <w:br/>
        <w:t>USA</w:t>
      </w:r>
      <w:r>
        <w:rPr>
          <w:b/>
        </w:rPr>
        <w:br/>
        <w:t>Telefon: 1-800-SAMTEC-9 (800-726-8329)</w:t>
      </w:r>
      <w:r>
        <w:br/>
      </w:r>
      <w:hyperlink r:id="rId8" w:tgtFrame="_blank" w:history="1">
        <w:r>
          <w:rPr>
            <w:rStyle w:val="Hyperlink"/>
            <w:b/>
          </w:rPr>
          <w:t>www.samtec.com/media-room</w:t>
        </w:r>
      </w:hyperlink>
    </w:p>
    <w:p w14:paraId="3D947A00" w14:textId="77777777" w:rsidR="00BE6E27" w:rsidRPr="00BE6E27" w:rsidRDefault="00BE6E27" w:rsidP="00BE6E27">
      <w:pPr>
        <w:spacing w:after="0" w:line="240" w:lineRule="auto"/>
      </w:pPr>
    </w:p>
    <w:p w14:paraId="04191B6F" w14:textId="77777777" w:rsidR="00BE6E27" w:rsidRPr="00BE6E27" w:rsidRDefault="00BE6E27" w:rsidP="00BE6E27">
      <w:pPr>
        <w:spacing w:after="0" w:line="240" w:lineRule="auto"/>
      </w:pPr>
      <w:r>
        <w:t xml:space="preserve">Unser Presseteam stellt Medienschaffenden auf der ganzen Welt sehr gerne spannende und innovative Storys zur Verfügung. Sollten Sie ein Mitglied der Medien bzw. Presse sein und ein Gespräch mit uns wünschen, dann senden Sie bitte eine E-Mail an </w:t>
      </w:r>
      <w:hyperlink r:id="rId9" w:history="1">
        <w:r>
          <w:rPr>
            <w:rStyle w:val="Hyperlink"/>
          </w:rPr>
          <w:t>mediaroom@samtec.com</w:t>
        </w:r>
      </w:hyperlink>
      <w:r>
        <w:t>.</w:t>
      </w:r>
    </w:p>
    <w:p w14:paraId="523E2519" w14:textId="77777777" w:rsidR="00BE6E27" w:rsidRPr="00BE6E27" w:rsidRDefault="00BE6E27" w:rsidP="00BE6E27">
      <w:pPr>
        <w:spacing w:after="0" w:line="240" w:lineRule="auto"/>
      </w:pPr>
    </w:p>
    <w:p w14:paraId="7DB089A7" w14:textId="77777777" w:rsidR="00BE6E27" w:rsidRDefault="00BE6E27" w:rsidP="00BE6E27">
      <w:pPr>
        <w:spacing w:after="0" w:line="240" w:lineRule="auto"/>
      </w:pPr>
    </w:p>
    <w:p w14:paraId="7351F38D" w14:textId="77777777" w:rsidR="00BE6E27" w:rsidRDefault="00BE6E27" w:rsidP="00BE6E27">
      <w:pPr>
        <w:spacing w:after="0" w:line="240" w:lineRule="auto"/>
      </w:pPr>
    </w:p>
    <w:sectPr w:rsidR="00BE6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E4841"/>
    <w:multiLevelType w:val="multilevel"/>
    <w:tmpl w:val="69820DC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6726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27"/>
    <w:rsid w:val="000D5E9A"/>
    <w:rsid w:val="001A3152"/>
    <w:rsid w:val="0027611E"/>
    <w:rsid w:val="0034293B"/>
    <w:rsid w:val="004B056B"/>
    <w:rsid w:val="0056292B"/>
    <w:rsid w:val="00571114"/>
    <w:rsid w:val="006422E7"/>
    <w:rsid w:val="006D489D"/>
    <w:rsid w:val="006F5E45"/>
    <w:rsid w:val="00902D18"/>
    <w:rsid w:val="00916B46"/>
    <w:rsid w:val="00925E3A"/>
    <w:rsid w:val="00954A01"/>
    <w:rsid w:val="009B2015"/>
    <w:rsid w:val="00AD2223"/>
    <w:rsid w:val="00B96E12"/>
    <w:rsid w:val="00BE606F"/>
    <w:rsid w:val="00BE6E27"/>
    <w:rsid w:val="00BF1F12"/>
    <w:rsid w:val="00C2352D"/>
    <w:rsid w:val="00E26704"/>
    <w:rsid w:val="00E57FE5"/>
    <w:rsid w:val="00EB2471"/>
    <w:rsid w:val="00F41A83"/>
    <w:rsid w:val="00F9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3ADB3"/>
  <w15:chartTrackingRefBased/>
  <w15:docId w15:val="{24CF627F-972A-4BA7-AEA8-5C155654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E27"/>
    <w:rPr>
      <w:rFonts w:eastAsiaTheme="majorEastAsia" w:cstheme="majorBidi"/>
      <w:color w:val="272727" w:themeColor="text1" w:themeTint="D8"/>
    </w:rPr>
  </w:style>
  <w:style w:type="paragraph" w:styleId="Title">
    <w:name w:val="Title"/>
    <w:basedOn w:val="Normal"/>
    <w:next w:val="Normal"/>
    <w:link w:val="TitleChar"/>
    <w:uiPriority w:val="10"/>
    <w:qFormat/>
    <w:rsid w:val="00BE6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E27"/>
    <w:pPr>
      <w:spacing w:before="160"/>
      <w:jc w:val="center"/>
    </w:pPr>
    <w:rPr>
      <w:i/>
      <w:iCs/>
      <w:color w:val="404040" w:themeColor="text1" w:themeTint="BF"/>
    </w:rPr>
  </w:style>
  <w:style w:type="character" w:customStyle="1" w:styleId="QuoteChar">
    <w:name w:val="Quote Char"/>
    <w:basedOn w:val="DefaultParagraphFont"/>
    <w:link w:val="Quote"/>
    <w:uiPriority w:val="29"/>
    <w:rsid w:val="00BE6E27"/>
    <w:rPr>
      <w:i/>
      <w:iCs/>
      <w:color w:val="404040" w:themeColor="text1" w:themeTint="BF"/>
    </w:rPr>
  </w:style>
  <w:style w:type="paragraph" w:styleId="ListParagraph">
    <w:name w:val="List Paragraph"/>
    <w:basedOn w:val="Normal"/>
    <w:uiPriority w:val="34"/>
    <w:qFormat/>
    <w:rsid w:val="00BE6E27"/>
    <w:pPr>
      <w:ind w:left="720"/>
      <w:contextualSpacing/>
    </w:pPr>
  </w:style>
  <w:style w:type="character" w:styleId="IntenseEmphasis">
    <w:name w:val="Intense Emphasis"/>
    <w:basedOn w:val="DefaultParagraphFont"/>
    <w:uiPriority w:val="21"/>
    <w:qFormat/>
    <w:rsid w:val="00BE6E27"/>
    <w:rPr>
      <w:i/>
      <w:iCs/>
      <w:color w:val="0F4761" w:themeColor="accent1" w:themeShade="BF"/>
    </w:rPr>
  </w:style>
  <w:style w:type="paragraph" w:styleId="IntenseQuote">
    <w:name w:val="Intense Quote"/>
    <w:basedOn w:val="Normal"/>
    <w:next w:val="Normal"/>
    <w:link w:val="IntenseQuoteChar"/>
    <w:uiPriority w:val="30"/>
    <w:qFormat/>
    <w:rsid w:val="00BE6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E27"/>
    <w:rPr>
      <w:i/>
      <w:iCs/>
      <w:color w:val="0F4761" w:themeColor="accent1" w:themeShade="BF"/>
    </w:rPr>
  </w:style>
  <w:style w:type="character" w:styleId="IntenseReference">
    <w:name w:val="Intense Reference"/>
    <w:basedOn w:val="DefaultParagraphFont"/>
    <w:uiPriority w:val="32"/>
    <w:qFormat/>
    <w:rsid w:val="00BE6E27"/>
    <w:rPr>
      <w:b/>
      <w:bCs/>
      <w:smallCaps/>
      <w:color w:val="0F4761" w:themeColor="accent1" w:themeShade="BF"/>
      <w:spacing w:val="5"/>
    </w:rPr>
  </w:style>
  <w:style w:type="character" w:styleId="Hyperlink">
    <w:name w:val="Hyperlink"/>
    <w:basedOn w:val="DefaultParagraphFont"/>
    <w:uiPriority w:val="99"/>
    <w:unhideWhenUsed/>
    <w:rsid w:val="00BE6E27"/>
    <w:rPr>
      <w:color w:val="467886" w:themeColor="hyperlink"/>
      <w:u w:val="single"/>
    </w:rPr>
  </w:style>
  <w:style w:type="character" w:styleId="UnresolvedMention">
    <w:name w:val="Unresolved Mention"/>
    <w:basedOn w:val="DefaultParagraphFont"/>
    <w:uiPriority w:val="99"/>
    <w:semiHidden/>
    <w:unhideWhenUsed/>
    <w:rsid w:val="00BE6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www.samtec.com%2Fmedia-room&amp;data=05%7C02%7CDanny.Boesing%40samtec.com%7Ccb04563bb8a74e47cc2608dde41e09fb%7C9943a8162cec4883855e09a8c36108af%7C0%7C0%7C638917539846487636%7CUnknown%7CTWFpbGZsb3d8eyJFbXB0eU1hcGkiOnRydWUsIlYiOiIwLjAuMDAwMCIsIlAiOiJXaW4zMiIsIkFOIjoiTWFpbCIsIldUIjoyfQ%3D%3D%7C0%7C%7C%7C&amp;sdata=3YokW4zVCi0dhUQiBfEDULZTvZ9FPEXgDt1j6RQrGMU%3D&amp;reserved=0" TargetMode="External"/><Relationship Id="rId3" Type="http://schemas.openxmlformats.org/officeDocument/2006/relationships/settings" Target="settings.xml"/><Relationship Id="rId7" Type="http://schemas.openxmlformats.org/officeDocument/2006/relationships/hyperlink" Target="https://nam10.safelinks.protection.outlook.com/?url=http%3A%2F%2Fwww.samtec.com%2F&amp;data=05%7C02%7CDanny.Boesing%40samtec.com%7Ccb04563bb8a74e47cc2608dde41e09fb%7C9943a8162cec4883855e09a8c36108af%7C0%7C0%7C638917539846471758%7CUnknown%7CTWFpbGZsb3d8eyJFbXB0eU1hcGkiOnRydWUsIlYiOiIwLjAuMDAwMCIsIlAiOiJXaW4zMiIsIkFOIjoiTWFpbCIsIldUIjoyfQ%3D%3D%7C0%7C%7C%7C&amp;sdata=c0aJYdHD0cOJczgwDlMXMdLj1wddtwDlnCv1uiRWLvs%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mtec.com/SET" TargetMode="External"/><Relationship Id="rId11" Type="http://schemas.openxmlformats.org/officeDocument/2006/relationships/theme" Target="theme/theme1.xml"/><Relationship Id="rId5" Type="http://schemas.openxmlformats.org/officeDocument/2006/relationships/hyperlink" Target="https://nam10.safelinks.protection.outlook.com/?url=https%3A%2F%2Fsuddendocs.samtec.com%2Fliterature%2Fsamtec-outgassing-faqs-guide.pdf&amp;data=05%7C02%7CDanny.Boesing%40samtec.com%7Ccb04563bb8a74e47cc2608dde41e09fb%7C9943a8162cec4883855e09a8c36108af%7C0%7C0%7C638917539846430691%7CUnknown%7CTWFpbGZsb3d8eyJFbXB0eU1hcGkiOnRydWUsIlYiOiIwLjAuMDAwMCIsIlAiOiJXaW4zMiIsIkFOIjoiTWFpbCIsIldUIjoyfQ%3D%3D%7C0%7C%7C%7C&amp;sdata=78LCpcPrsdBy5NPL1777Rx9uqEkcZikfD9kdZxlOBaY%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diaroom@samt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4777</Characters>
  <Application>Microsoft Office Word</Application>
  <DocSecurity>0</DocSecurity>
  <Lines>39</Lines>
  <Paragraphs>11</Paragraphs>
  <ScaleCrop>false</ScaleCrop>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Boesing</dc:creator>
  <cp:keywords/>
  <dc:description/>
  <cp:lastModifiedBy>Gwenfair Rousselot-Jones</cp:lastModifiedBy>
  <cp:revision>4</cp:revision>
  <dcterms:created xsi:type="dcterms:W3CDTF">2025-09-01T13:14:00Z</dcterms:created>
  <dcterms:modified xsi:type="dcterms:W3CDTF">2025-09-05T15:28:00Z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9de514f1-70e2-4d19-930e-d3907a30fe43</vt:lpwstr>
  </property>
</Properties>
</file>