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FB03" w14:textId="77777777" w:rsidR="00000000" w:rsidRDefault="00000000">
      <w:pPr>
        <w:spacing w:before="120"/>
        <w:rPr>
          <w:rFonts w:ascii="Arial" w:hAnsi="Arial" w:cs="Arial"/>
          <w:sz w:val="32"/>
          <w:szCs w:val="30"/>
          <w:rtl/>
        </w:rPr>
      </w:pPr>
    </w:p>
    <w:p w14:paraId="2F757290" w14:textId="77777777" w:rsidR="00000000" w:rsidRDefault="00000000">
      <w:pPr>
        <w:spacing w:before="120"/>
        <w:rPr>
          <w:rFonts w:ascii="Arial" w:hAnsi="Arial" w:cs="Arial" w:hint="cs"/>
          <w:b/>
          <w:bCs/>
          <w:sz w:val="28"/>
          <w:szCs w:val="32"/>
          <w:rtl/>
          <w:lang w:val="en-GB"/>
        </w:rPr>
      </w:pPr>
      <w:r>
        <w:rPr>
          <w:rFonts w:ascii="Arial" w:hAnsi="Arial" w:cs="Arial" w:hint="cs"/>
          <w:b/>
          <w:bCs/>
          <w:sz w:val="28"/>
          <w:szCs w:val="32"/>
          <w:rtl/>
        </w:rPr>
        <w:t xml:space="preserve">חברת </w:t>
      </w:r>
      <w:r>
        <w:rPr>
          <w:rFonts w:ascii="Arial" w:hAnsi="Arial" w:cs="Arial"/>
          <w:b/>
          <w:bCs/>
          <w:sz w:val="28"/>
          <w:szCs w:val="32"/>
          <w:lang w:val="en-GB"/>
        </w:rPr>
        <w:t>Samtec</w:t>
      </w:r>
      <w:r>
        <w:rPr>
          <w:rFonts w:ascii="Arial" w:hAnsi="Arial" w:cs="Arial" w:hint="cs"/>
          <w:b/>
          <w:bCs/>
          <w:sz w:val="28"/>
          <w:szCs w:val="32"/>
          <w:rtl/>
          <w:lang w:val="en-GB"/>
        </w:rPr>
        <w:t xml:space="preserve"> מציעה בדיקות </w:t>
      </w:r>
      <w:r>
        <w:rPr>
          <w:rFonts w:ascii="Arial" w:hAnsi="Arial" w:cs="Arial"/>
          <w:b/>
          <w:bCs/>
          <w:sz w:val="28"/>
          <w:szCs w:val="32"/>
          <w:lang w:val="en-GB"/>
        </w:rPr>
        <w:t>Upscreen</w:t>
      </w:r>
      <w:r>
        <w:rPr>
          <w:rFonts w:ascii="Arial" w:hAnsi="Arial" w:cs="Arial" w:hint="cs"/>
          <w:b/>
          <w:bCs/>
          <w:sz w:val="28"/>
          <w:szCs w:val="32"/>
          <w:rtl/>
          <w:lang w:val="en-GB"/>
        </w:rPr>
        <w:t xml:space="preserve"> כדי להאיץ את זמן היציאה לשוק של מוצרים צבאיים ואוויר</w:t>
      </w:r>
    </w:p>
    <w:p w14:paraId="47B8DB4C" w14:textId="77777777" w:rsidR="00000000" w:rsidRDefault="00000000">
      <w:pPr>
        <w:spacing w:before="120"/>
        <w:rPr>
          <w:rFonts w:ascii="Arial" w:hAnsi="Arial" w:cs="Arial" w:hint="cs"/>
          <w:sz w:val="20"/>
          <w:szCs w:val="22"/>
          <w:rtl/>
        </w:rPr>
      </w:pPr>
    </w:p>
    <w:p w14:paraId="19C1DC69" w14:textId="77777777" w:rsidR="00000000" w:rsidRDefault="00000000">
      <w:pPr>
        <w:spacing w:before="120"/>
        <w:rPr>
          <w:rFonts w:ascii="Arial" w:hAnsi="Arial" w:cs="Arial" w:hint="cs"/>
          <w:sz w:val="20"/>
          <w:szCs w:val="22"/>
          <w:rtl/>
        </w:rPr>
      </w:pPr>
      <w:r>
        <w:rPr>
          <w:rFonts w:ascii="Arial" w:hAnsi="Arial" w:cs="Arial" w:hint="cs"/>
          <w:sz w:val="20"/>
          <w:szCs w:val="22"/>
          <w:rtl/>
        </w:rPr>
        <w:t>31 במרס, 2026 [</w:t>
      </w:r>
      <w:r>
        <w:rPr>
          <w:rFonts w:ascii="Arial" w:hAnsi="Arial" w:cs="Arial" w:hint="cs"/>
          <w:b/>
          <w:bCs/>
          <w:sz w:val="20"/>
          <w:szCs w:val="22"/>
          <w:rtl/>
        </w:rPr>
        <w:t>ניו אלבני, אינדיאנה (ארה"ב)]:</w:t>
      </w:r>
      <w:r>
        <w:rPr>
          <w:rFonts w:ascii="Arial" w:hAnsi="Arial" w:cs="Arial" w:hint="cs"/>
          <w:sz w:val="20"/>
          <w:szCs w:val="22"/>
          <w:rtl/>
        </w:rPr>
        <w:t xml:space="preserve"> חברת </w:t>
      </w:r>
      <w:r>
        <w:rPr>
          <w:rFonts w:ascii="Arial" w:hAnsi="Arial" w:cs="Arial"/>
          <w:sz w:val="20"/>
          <w:szCs w:val="22"/>
          <w:lang w:val="en-GB"/>
        </w:rPr>
        <w:t>Samtec</w:t>
      </w:r>
      <w:r>
        <w:rPr>
          <w:rFonts w:ascii="Arial" w:hAnsi="Arial" w:cs="Arial" w:hint="cs"/>
          <w:sz w:val="20"/>
          <w:szCs w:val="22"/>
          <w:rtl/>
        </w:rPr>
        <w:t xml:space="preserve">, חברה מובילה בשירות בתחום תעשיית המחברים, מציעה מעתה שירותי בדיקות </w:t>
      </w:r>
      <w:r>
        <w:rPr>
          <w:rFonts w:ascii="Arial" w:hAnsi="Arial" w:cs="Arial"/>
          <w:sz w:val="20"/>
          <w:szCs w:val="22"/>
          <w:lang w:val="en-GB"/>
        </w:rPr>
        <w:t>Upscreen</w:t>
      </w:r>
      <w:r>
        <w:rPr>
          <w:rFonts w:ascii="Arial" w:hAnsi="Arial" w:cs="Arial" w:hint="cs"/>
          <w:sz w:val="20"/>
          <w:szCs w:val="22"/>
          <w:rtl/>
          <w:lang w:val="en-GB"/>
        </w:rPr>
        <w:t xml:space="preserve"> </w:t>
      </w:r>
      <w:r>
        <w:rPr>
          <w:rFonts w:ascii="Arial" w:hAnsi="Arial" w:cs="Arial" w:hint="cs"/>
          <w:sz w:val="20"/>
          <w:szCs w:val="22"/>
          <w:rtl/>
        </w:rPr>
        <w:t>לעמידה ברמות הגבוהות ביותר לאבטחת אמינות, שנדרשות עבור יישומים קריטיים למשימה. השירות החדש תוכנן בעיקר עבור לקוחות בתחומי צבא וחלל</w:t>
      </w:r>
      <w:r>
        <w:rPr>
          <w:rFonts w:ascii="Arial" w:hAnsi="Arial" w:cs="Arial" w:hint="eastAsia"/>
          <w:sz w:val="20"/>
          <w:szCs w:val="22"/>
          <w:rtl/>
        </w:rPr>
        <w:t>–</w:t>
      </w:r>
      <w:r>
        <w:rPr>
          <w:rFonts w:ascii="Arial" w:hAnsi="Arial" w:cs="Arial" w:hint="cs"/>
          <w:sz w:val="20"/>
          <w:szCs w:val="22"/>
          <w:rtl/>
        </w:rPr>
        <w:t xml:space="preserve">אוויר, והבדיקות מתוכננות במיוחד לדרך שבה לקוחות משתמשים במוצרי החיבורים הפנימיים המסחריים של </w:t>
      </w:r>
      <w:r>
        <w:rPr>
          <w:rFonts w:ascii="Arial" w:hAnsi="Arial" w:cs="Arial"/>
          <w:sz w:val="20"/>
          <w:szCs w:val="22"/>
        </w:rPr>
        <w:t>Samtec</w:t>
      </w:r>
      <w:r>
        <w:rPr>
          <w:rFonts w:ascii="Arial" w:hAnsi="Arial" w:cs="Arial" w:hint="cs"/>
          <w:sz w:val="20"/>
          <w:szCs w:val="22"/>
          <w:rtl/>
        </w:rPr>
        <w:t xml:space="preserve"> הנמכרים מהמדף (</w:t>
      </w:r>
      <w:r>
        <w:rPr>
          <w:rFonts w:ascii="Arial" w:hAnsi="Arial" w:cs="Arial"/>
          <w:sz w:val="20"/>
          <w:szCs w:val="22"/>
        </w:rPr>
        <w:t>COTS</w:t>
      </w:r>
      <w:r>
        <w:rPr>
          <w:rFonts w:ascii="Arial" w:hAnsi="Arial" w:cs="Arial" w:hint="cs"/>
          <w:sz w:val="20"/>
          <w:szCs w:val="22"/>
          <w:rtl/>
        </w:rPr>
        <w:t>). לכל הזמנה מצורף דוח בדיקה מלא.</w:t>
      </w:r>
    </w:p>
    <w:p w14:paraId="3D316DE7" w14:textId="77777777" w:rsidR="00000000" w:rsidRDefault="00000000">
      <w:pPr>
        <w:spacing w:before="120"/>
        <w:rPr>
          <w:rFonts w:ascii="Arial" w:hAnsi="Arial" w:cs="Arial" w:hint="cs"/>
          <w:sz w:val="20"/>
          <w:szCs w:val="22"/>
          <w:rtl/>
        </w:rPr>
      </w:pPr>
    </w:p>
    <w:p w14:paraId="2C5214E1" w14:textId="77777777" w:rsidR="00000000" w:rsidRDefault="00000000">
      <w:pPr>
        <w:spacing w:before="120"/>
        <w:rPr>
          <w:rFonts w:ascii="Arial" w:hAnsi="Arial" w:cs="Arial" w:hint="cs"/>
          <w:sz w:val="20"/>
          <w:szCs w:val="22"/>
          <w:rtl/>
        </w:rPr>
      </w:pPr>
    </w:p>
    <w:p w14:paraId="63F7CD09" w14:textId="77777777" w:rsidR="00000000" w:rsidRDefault="00000000">
      <w:pPr>
        <w:spacing w:before="120"/>
        <w:rPr>
          <w:rFonts w:ascii="Arial" w:hAnsi="Arial" w:cs="Arial" w:hint="cs"/>
          <w:b/>
          <w:bCs/>
          <w:sz w:val="28"/>
          <w:szCs w:val="26"/>
          <w:rtl/>
        </w:rPr>
      </w:pPr>
      <w:r>
        <w:rPr>
          <w:rFonts w:ascii="Arial" w:hAnsi="Arial" w:cs="Arial" w:hint="cs"/>
          <w:b/>
          <w:bCs/>
          <w:sz w:val="28"/>
          <w:szCs w:val="26"/>
          <w:rtl/>
        </w:rPr>
        <w:t>בדיקות מקיפות</w:t>
      </w:r>
    </w:p>
    <w:p w14:paraId="3481AF2E" w14:textId="77777777" w:rsidR="00000000" w:rsidRDefault="00000000">
      <w:pPr>
        <w:spacing w:before="120"/>
        <w:rPr>
          <w:rFonts w:ascii="Arial" w:hAnsi="Arial" w:cs="Arial" w:hint="cs"/>
          <w:sz w:val="20"/>
          <w:szCs w:val="22"/>
          <w:rtl/>
          <w:lang w:val="en-GB"/>
        </w:rPr>
      </w:pPr>
      <w:r>
        <w:rPr>
          <w:rFonts w:ascii="Arial" w:hAnsi="Arial" w:cs="Arial"/>
          <w:noProof/>
          <w:sz w:val="20"/>
          <w:szCs w:val="22"/>
          <w:rtl/>
          <w:lang w:val="he-IL"/>
        </w:rPr>
        <w:pict w14:anchorId="2EA22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54.7pt;margin-top:17.6pt;width:186.3pt;height:152.45pt;z-index:-1;visibility:visible" wrapcoords="0 0 0 21465 21391 21465 21391 0 0 0">
            <v:imagedata r:id="rId6" o:title=""/>
            <w10:wrap type="tight"/>
          </v:shape>
        </w:pict>
      </w:r>
      <w:r>
        <w:rPr>
          <w:rFonts w:ascii="Arial" w:hAnsi="Arial" w:cs="Arial" w:hint="cs"/>
          <w:sz w:val="20"/>
          <w:szCs w:val="22"/>
          <w:rtl/>
        </w:rPr>
        <w:t xml:space="preserve">בדיקות </w:t>
      </w:r>
      <w:r>
        <w:rPr>
          <w:rFonts w:ascii="Arial" w:hAnsi="Arial" w:cs="Arial"/>
          <w:sz w:val="20"/>
          <w:szCs w:val="22"/>
          <w:lang w:val="en-GB"/>
        </w:rPr>
        <w:t>Upscreen</w:t>
      </w:r>
      <w:r>
        <w:rPr>
          <w:rFonts w:ascii="Arial" w:hAnsi="Arial" w:cs="Arial" w:hint="cs"/>
          <w:sz w:val="20"/>
          <w:szCs w:val="22"/>
          <w:rtl/>
          <w:lang w:val="en-GB"/>
        </w:rPr>
        <w:t xml:space="preserve"> </w:t>
      </w:r>
      <w:r>
        <w:rPr>
          <w:rFonts w:ascii="Arial" w:hAnsi="Arial" w:cs="Arial" w:hint="cs"/>
          <w:sz w:val="20"/>
          <w:szCs w:val="22"/>
          <w:rtl/>
        </w:rPr>
        <w:t xml:space="preserve">בחברת </w:t>
      </w:r>
      <w:r>
        <w:rPr>
          <w:rFonts w:ascii="Arial" w:hAnsi="Arial" w:cs="Arial"/>
          <w:sz w:val="20"/>
          <w:szCs w:val="22"/>
        </w:rPr>
        <w:t>Samtec</w:t>
      </w:r>
      <w:r>
        <w:rPr>
          <w:rFonts w:ascii="Arial" w:hAnsi="Arial" w:cs="Arial" w:hint="cs"/>
          <w:sz w:val="20"/>
          <w:szCs w:val="22"/>
          <w:rtl/>
        </w:rPr>
        <w:t xml:space="preserve"> </w:t>
      </w:r>
      <w:r>
        <w:rPr>
          <w:rFonts w:ascii="Arial" w:hAnsi="Arial" w:cs="Arial" w:hint="cs"/>
          <w:sz w:val="20"/>
          <w:szCs w:val="22"/>
          <w:rtl/>
          <w:lang w:val="en-GB"/>
        </w:rPr>
        <w:t>כוללות בדיקות לסריקת אצווה (שמורכבות מבדיקות חשמליות ומכניות ומבדיקות ייצור) ובדיקות עמידה באיכות (</w:t>
      </w:r>
      <w:r>
        <w:rPr>
          <w:rFonts w:ascii="Arial" w:hAnsi="Arial" w:cs="Arial"/>
          <w:sz w:val="20"/>
          <w:szCs w:val="22"/>
          <w:lang w:val="en-GB"/>
        </w:rPr>
        <w:t>QCI</w:t>
      </w:r>
      <w:r>
        <w:rPr>
          <w:rFonts w:ascii="Arial" w:hAnsi="Arial" w:cs="Arial" w:hint="cs"/>
          <w:sz w:val="20"/>
          <w:szCs w:val="22"/>
          <w:rtl/>
          <w:lang w:val="en-GB"/>
        </w:rPr>
        <w:t>; לרבות בדיקות סריקת אצווה ובדיקות של הלמים, רעידות והערכות לגבי חיי שימוש ארוכים). ב</w:t>
      </w:r>
      <w:r>
        <w:rPr>
          <w:rFonts w:ascii="Arial" w:hAnsi="Arial" w:cs="Arial" w:hint="cs"/>
          <w:sz w:val="20"/>
          <w:szCs w:val="22"/>
          <w:rtl/>
        </w:rPr>
        <w:t xml:space="preserve">בדיקות </w:t>
      </w:r>
      <w:r>
        <w:rPr>
          <w:rFonts w:ascii="Arial" w:hAnsi="Arial" w:cs="Arial"/>
          <w:sz w:val="20"/>
          <w:szCs w:val="22"/>
          <w:lang w:val="en-GB"/>
        </w:rPr>
        <w:t>Upscreen</w:t>
      </w:r>
      <w:r>
        <w:rPr>
          <w:rFonts w:ascii="Arial" w:hAnsi="Arial" w:cs="Arial" w:hint="cs"/>
          <w:sz w:val="20"/>
          <w:szCs w:val="22"/>
          <w:rtl/>
          <w:lang w:val="en-GB"/>
        </w:rPr>
        <w:t xml:space="preserve"> </w:t>
      </w:r>
      <w:r>
        <w:rPr>
          <w:rFonts w:ascii="Arial" w:hAnsi="Arial" w:cs="Arial" w:hint="cs"/>
          <w:sz w:val="20"/>
          <w:szCs w:val="22"/>
          <w:rtl/>
        </w:rPr>
        <w:t xml:space="preserve">של חברת </w:t>
      </w:r>
      <w:r>
        <w:rPr>
          <w:rFonts w:ascii="Arial" w:hAnsi="Arial" w:cs="Arial"/>
          <w:sz w:val="20"/>
          <w:szCs w:val="22"/>
        </w:rPr>
        <w:t>Samtec</w:t>
      </w:r>
      <w:r>
        <w:rPr>
          <w:rFonts w:ascii="Arial" w:hAnsi="Arial" w:cs="Arial" w:hint="cs"/>
          <w:sz w:val="20"/>
          <w:szCs w:val="22"/>
          <w:rtl/>
        </w:rPr>
        <w:t xml:space="preserve"> משולבים מרכיבים של תקן </w:t>
      </w:r>
      <w:r>
        <w:rPr>
          <w:rFonts w:ascii="Arial" w:hAnsi="Arial" w:cs="Arial"/>
          <w:sz w:val="20"/>
          <w:szCs w:val="22"/>
          <w:lang w:val="en-GB"/>
        </w:rPr>
        <w:t>MIL–DTL–55302</w:t>
      </w:r>
      <w:r>
        <w:rPr>
          <w:rFonts w:ascii="Arial" w:hAnsi="Arial" w:cs="Arial" w:hint="cs"/>
          <w:sz w:val="20"/>
          <w:szCs w:val="22"/>
          <w:rtl/>
          <w:lang w:val="en-GB"/>
        </w:rPr>
        <w:t xml:space="preserve"> בצד מרכיבים של תקני </w:t>
      </w:r>
      <w:r>
        <w:rPr>
          <w:rFonts w:ascii="Arial" w:hAnsi="Arial" w:cs="Arial"/>
          <w:sz w:val="20"/>
          <w:szCs w:val="22"/>
          <w:lang w:val="en-GB"/>
        </w:rPr>
        <w:t>EEE–INST–002</w:t>
      </w:r>
      <w:r>
        <w:rPr>
          <w:rFonts w:ascii="Arial" w:hAnsi="Arial" w:cs="Arial" w:hint="cs"/>
          <w:sz w:val="20"/>
          <w:szCs w:val="22"/>
          <w:rtl/>
          <w:lang w:val="en-GB"/>
        </w:rPr>
        <w:t xml:space="preserve"> ושיטות בדיקה </w:t>
      </w:r>
      <w:r>
        <w:rPr>
          <w:rFonts w:ascii="Arial" w:hAnsi="Arial" w:cs="Arial"/>
          <w:sz w:val="20"/>
          <w:szCs w:val="22"/>
          <w:lang w:val="en-GB"/>
        </w:rPr>
        <w:t>EIA–364</w:t>
      </w:r>
      <w:r>
        <w:rPr>
          <w:rFonts w:ascii="Arial" w:hAnsi="Arial" w:cs="Arial" w:hint="cs"/>
          <w:sz w:val="20"/>
          <w:szCs w:val="22"/>
          <w:rtl/>
          <w:lang w:val="en-GB"/>
        </w:rPr>
        <w:t xml:space="preserve"> של </w:t>
      </w:r>
      <w:r>
        <w:rPr>
          <w:rFonts w:ascii="Arial" w:hAnsi="Arial" w:cs="Arial"/>
          <w:sz w:val="20"/>
          <w:szCs w:val="22"/>
          <w:lang w:val="en-GB"/>
        </w:rPr>
        <w:t>NASA</w:t>
      </w:r>
      <w:r>
        <w:rPr>
          <w:rFonts w:ascii="Arial" w:hAnsi="Arial" w:cs="Arial" w:hint="cs"/>
          <w:sz w:val="20"/>
          <w:szCs w:val="22"/>
          <w:rtl/>
          <w:lang w:val="en-GB"/>
        </w:rPr>
        <w:t>, הכל בתלות בצרכים של הלקוח.</w:t>
      </w:r>
    </w:p>
    <w:p w14:paraId="6E2A5A8A" w14:textId="77777777" w:rsidR="00000000" w:rsidRDefault="00000000">
      <w:pPr>
        <w:spacing w:before="120"/>
        <w:rPr>
          <w:rFonts w:ascii="Arial" w:hAnsi="Arial" w:cs="Arial" w:hint="cs"/>
          <w:sz w:val="20"/>
          <w:szCs w:val="22"/>
          <w:rtl/>
          <w:lang w:val="en-GB"/>
        </w:rPr>
      </w:pPr>
      <w:r>
        <w:rPr>
          <w:rFonts w:ascii="Arial" w:hAnsi="Arial" w:cs="Arial" w:hint="cs"/>
          <w:sz w:val="20"/>
          <w:szCs w:val="22"/>
          <w:rtl/>
        </w:rPr>
        <w:t xml:space="preserve">דוגמאות של נתוני בדיקות שהתקבלו במהלך בדיקות </w:t>
      </w:r>
      <w:r>
        <w:rPr>
          <w:rFonts w:ascii="Arial" w:hAnsi="Arial" w:cs="Arial"/>
          <w:sz w:val="20"/>
          <w:szCs w:val="22"/>
          <w:lang w:val="en-GB"/>
        </w:rPr>
        <w:t>Upscreen</w:t>
      </w:r>
      <w:r>
        <w:rPr>
          <w:rFonts w:ascii="Arial" w:hAnsi="Arial" w:cs="Arial" w:hint="cs"/>
          <w:sz w:val="20"/>
          <w:szCs w:val="22"/>
          <w:rtl/>
          <w:lang w:val="en-GB"/>
        </w:rPr>
        <w:t xml:space="preserve"> </w:t>
      </w:r>
      <w:r>
        <w:rPr>
          <w:rFonts w:ascii="Arial" w:hAnsi="Arial" w:cs="Arial" w:hint="cs"/>
          <w:sz w:val="20"/>
          <w:szCs w:val="22"/>
          <w:rtl/>
        </w:rPr>
        <w:t xml:space="preserve">של </w:t>
      </w:r>
      <w:r>
        <w:rPr>
          <w:rFonts w:ascii="Arial" w:hAnsi="Arial" w:cs="Arial"/>
          <w:sz w:val="20"/>
          <w:szCs w:val="22"/>
        </w:rPr>
        <w:t>Samtec</w:t>
      </w:r>
      <w:r>
        <w:rPr>
          <w:rFonts w:ascii="Arial" w:hAnsi="Arial" w:cs="Arial" w:hint="cs"/>
          <w:sz w:val="20"/>
          <w:szCs w:val="22"/>
          <w:rtl/>
        </w:rPr>
        <w:t xml:space="preserve"> כוללות התנגדות של בידוד (</w:t>
      </w:r>
      <w:r>
        <w:rPr>
          <w:rFonts w:ascii="Arial" w:hAnsi="Arial" w:cs="Arial"/>
          <w:sz w:val="20"/>
          <w:szCs w:val="22"/>
          <w:lang w:val="en-GB"/>
        </w:rPr>
        <w:t>IR</w:t>
      </w:r>
      <w:r>
        <w:rPr>
          <w:rFonts w:ascii="Arial" w:hAnsi="Arial" w:cs="Arial" w:hint="cs"/>
          <w:sz w:val="20"/>
          <w:szCs w:val="22"/>
          <w:rtl/>
        </w:rPr>
        <w:t>) /מתח החוזק הדיאלקטרי (</w:t>
      </w:r>
      <w:r>
        <w:rPr>
          <w:rFonts w:ascii="Arial" w:hAnsi="Arial" w:cs="Arial"/>
          <w:sz w:val="20"/>
          <w:szCs w:val="22"/>
          <w:lang w:val="en-GB"/>
        </w:rPr>
        <w:t>DWV</w:t>
      </w:r>
      <w:r>
        <w:rPr>
          <w:rFonts w:ascii="Arial" w:hAnsi="Arial" w:cs="Arial" w:hint="cs"/>
          <w:sz w:val="20"/>
          <w:szCs w:val="22"/>
          <w:rtl/>
        </w:rPr>
        <w:t xml:space="preserve">), חיבור/ניתוק ויכולת הלחמה - בדומה למה שנדרש על ידי תקן </w:t>
      </w:r>
      <w:r>
        <w:rPr>
          <w:rFonts w:ascii="Arial" w:hAnsi="Arial" w:cs="Arial"/>
          <w:sz w:val="20"/>
          <w:szCs w:val="22"/>
        </w:rPr>
        <w:t>MIL–STD–55302</w:t>
      </w:r>
      <w:r>
        <w:rPr>
          <w:rFonts w:ascii="Arial" w:hAnsi="Arial" w:cs="Arial" w:hint="cs"/>
          <w:sz w:val="20"/>
          <w:szCs w:val="22"/>
          <w:rtl/>
        </w:rPr>
        <w:t>. מסמכי הייחוס הייחודיי</w:t>
      </w:r>
      <w:r>
        <w:rPr>
          <w:rFonts w:ascii="Arial" w:hAnsi="Arial" w:cs="Arial" w:hint="eastAsia"/>
          <w:sz w:val="20"/>
          <w:szCs w:val="22"/>
          <w:rtl/>
        </w:rPr>
        <w:t>ם</w:t>
      </w:r>
      <w:r>
        <w:rPr>
          <w:rFonts w:ascii="Arial" w:hAnsi="Arial" w:cs="Arial" w:hint="cs"/>
          <w:sz w:val="20"/>
          <w:szCs w:val="22"/>
          <w:rtl/>
        </w:rPr>
        <w:t xml:space="preserve"> כוללים: </w:t>
      </w:r>
      <w:r>
        <w:rPr>
          <w:rFonts w:ascii="Arial" w:hAnsi="Arial" w:cs="Arial"/>
          <w:sz w:val="20"/>
          <w:szCs w:val="22"/>
        </w:rPr>
        <w:t>EIA–364–23</w:t>
      </w:r>
      <w:r>
        <w:rPr>
          <w:rFonts w:ascii="Arial" w:hAnsi="Arial" w:cs="Arial" w:hint="cs"/>
          <w:sz w:val="20"/>
          <w:szCs w:val="22"/>
          <w:rtl/>
        </w:rPr>
        <w:t xml:space="preserve"> (תהליך בדיקה של התנגדות מגעים ברמה נמוכה עבור מחברים ומחברי שקע), </w:t>
      </w:r>
      <w:r>
        <w:rPr>
          <w:rFonts w:ascii="Arial" w:hAnsi="Arial" w:cs="Arial"/>
          <w:sz w:val="20"/>
          <w:szCs w:val="22"/>
          <w:lang w:val="en-GB"/>
        </w:rPr>
        <w:t>EIA–364–13E</w:t>
      </w:r>
      <w:r>
        <w:rPr>
          <w:rFonts w:ascii="Arial" w:hAnsi="Arial" w:cs="Arial" w:hint="cs"/>
          <w:sz w:val="20"/>
          <w:szCs w:val="22"/>
          <w:rtl/>
          <w:lang w:val="en-GB"/>
        </w:rPr>
        <w:t xml:space="preserve"> (</w:t>
      </w:r>
      <w:r>
        <w:rPr>
          <w:rFonts w:ascii="Arial" w:hAnsi="Arial" w:cs="Arial" w:hint="cs"/>
          <w:sz w:val="20"/>
          <w:szCs w:val="22"/>
          <w:rtl/>
        </w:rPr>
        <w:t xml:space="preserve">תהליך בדיקה של כוח </w:t>
      </w:r>
      <w:r>
        <w:rPr>
          <w:rFonts w:ascii="Arial" w:hAnsi="Arial" w:cs="Arial" w:hint="cs"/>
          <w:sz w:val="20"/>
          <w:szCs w:val="22"/>
          <w:rtl/>
          <w:lang w:val="en-GB"/>
        </w:rPr>
        <w:t>חיבור וניתוק</w:t>
      </w:r>
      <w:r>
        <w:rPr>
          <w:rFonts w:ascii="Arial" w:hAnsi="Arial" w:cs="Arial" w:hint="cs"/>
          <w:sz w:val="20"/>
          <w:szCs w:val="22"/>
          <w:rtl/>
        </w:rPr>
        <w:t xml:space="preserve"> עבור מחברים ומחברי שקע), </w:t>
      </w:r>
      <w:r>
        <w:rPr>
          <w:rFonts w:ascii="Arial" w:hAnsi="Arial" w:cs="Arial"/>
          <w:sz w:val="20"/>
          <w:szCs w:val="22"/>
          <w:lang w:val="en-GB"/>
        </w:rPr>
        <w:t>EIA–364–20</w:t>
      </w:r>
      <w:r>
        <w:rPr>
          <w:rFonts w:ascii="Arial" w:hAnsi="Arial" w:cs="Arial" w:hint="cs"/>
          <w:sz w:val="20"/>
          <w:szCs w:val="22"/>
          <w:rtl/>
          <w:lang w:val="en-GB"/>
        </w:rPr>
        <w:t xml:space="preserve"> (</w:t>
      </w:r>
      <w:r>
        <w:rPr>
          <w:rFonts w:ascii="Arial" w:hAnsi="Arial" w:cs="Arial" w:hint="cs"/>
          <w:sz w:val="20"/>
          <w:szCs w:val="22"/>
          <w:rtl/>
        </w:rPr>
        <w:t xml:space="preserve">תהליך בדיקה של עמידה במתח עבור מחברים חשמליים), </w:t>
      </w:r>
      <w:r>
        <w:rPr>
          <w:rFonts w:ascii="Arial" w:hAnsi="Arial" w:cs="Arial"/>
          <w:sz w:val="20"/>
          <w:szCs w:val="22"/>
          <w:lang w:val="en-GB"/>
        </w:rPr>
        <w:t>EIA–364–21</w:t>
      </w:r>
      <w:r>
        <w:rPr>
          <w:rFonts w:ascii="Arial" w:hAnsi="Arial" w:cs="Arial" w:hint="cs"/>
          <w:sz w:val="20"/>
          <w:szCs w:val="22"/>
          <w:rtl/>
          <w:lang w:val="en-GB"/>
        </w:rPr>
        <w:t xml:space="preserve"> (</w:t>
      </w:r>
      <w:r>
        <w:rPr>
          <w:rFonts w:ascii="Arial" w:hAnsi="Arial" w:cs="Arial" w:hint="cs"/>
          <w:sz w:val="20"/>
          <w:szCs w:val="22"/>
          <w:rtl/>
        </w:rPr>
        <w:t xml:space="preserve">תהליך בדיקה של התנגדות בידוד עבור מחברים חשמליים) ותקן </w:t>
      </w:r>
      <w:r>
        <w:rPr>
          <w:rFonts w:ascii="Arial" w:hAnsi="Arial" w:cs="Arial"/>
          <w:sz w:val="20"/>
          <w:szCs w:val="22"/>
          <w:lang w:val="en-GB"/>
        </w:rPr>
        <w:t>JEDEC J–STD–002D</w:t>
      </w:r>
      <w:r>
        <w:rPr>
          <w:rFonts w:ascii="Arial" w:hAnsi="Arial" w:cs="Arial" w:hint="cs"/>
          <w:sz w:val="20"/>
          <w:szCs w:val="22"/>
          <w:rtl/>
          <w:lang w:val="en-GB"/>
        </w:rPr>
        <w:t xml:space="preserve">, שיטה </w:t>
      </w:r>
      <w:r>
        <w:rPr>
          <w:rFonts w:ascii="Arial" w:hAnsi="Arial" w:cs="Arial"/>
          <w:sz w:val="20"/>
          <w:szCs w:val="22"/>
          <w:lang w:val="en-GB"/>
        </w:rPr>
        <w:t>A</w:t>
      </w:r>
      <w:r>
        <w:rPr>
          <w:rFonts w:ascii="Arial" w:hAnsi="Arial" w:cs="Arial" w:hint="cs"/>
          <w:sz w:val="20"/>
          <w:szCs w:val="22"/>
          <w:rtl/>
          <w:lang w:val="en-GB"/>
        </w:rPr>
        <w:t xml:space="preserve"> (בדיקת כושר הלחמה של מוליכי רכיבים, סיומות, </w:t>
      </w:r>
      <w:r>
        <w:rPr>
          <w:rFonts w:ascii="Arial" w:hAnsi="Arial" w:cs="Arial" w:hint="cs"/>
          <w:sz w:val="20"/>
          <w:szCs w:val="22"/>
          <w:rtl/>
        </w:rPr>
        <w:t>נעלי כבל</w:t>
      </w:r>
      <w:r>
        <w:rPr>
          <w:rFonts w:ascii="Arial" w:hAnsi="Arial" w:cs="Arial" w:hint="cs"/>
          <w:sz w:val="20"/>
          <w:szCs w:val="22"/>
          <w:rtl/>
          <w:lang w:val="en-GB"/>
        </w:rPr>
        <w:t>, הדקים וחוטים).</w:t>
      </w:r>
    </w:p>
    <w:p w14:paraId="69E05060" w14:textId="77777777" w:rsidR="00000000" w:rsidRDefault="00000000">
      <w:pPr>
        <w:spacing w:before="120"/>
        <w:rPr>
          <w:rFonts w:ascii="Arial" w:hAnsi="Arial" w:cs="Arial" w:hint="cs"/>
          <w:sz w:val="20"/>
          <w:szCs w:val="22"/>
          <w:rtl/>
          <w:lang w:val="en-GB"/>
        </w:rPr>
      </w:pPr>
    </w:p>
    <w:p w14:paraId="5D78509C" w14:textId="77777777" w:rsidR="00000000" w:rsidRDefault="00000000">
      <w:pPr>
        <w:spacing w:before="120"/>
        <w:rPr>
          <w:rFonts w:ascii="Arial" w:hAnsi="Arial" w:cs="Arial" w:hint="cs"/>
          <w:b/>
          <w:bCs/>
          <w:sz w:val="28"/>
          <w:szCs w:val="26"/>
          <w:rtl/>
          <w:lang w:val="en-GB"/>
        </w:rPr>
      </w:pPr>
      <w:r>
        <w:rPr>
          <w:rFonts w:ascii="Arial" w:hAnsi="Arial" w:cs="Arial" w:hint="cs"/>
          <w:b/>
          <w:bCs/>
          <w:sz w:val="28"/>
          <w:szCs w:val="26"/>
          <w:rtl/>
          <w:lang w:val="en-GB"/>
        </w:rPr>
        <w:t xml:space="preserve">היתרונות של בדיקות </w:t>
      </w:r>
      <w:r>
        <w:rPr>
          <w:rFonts w:ascii="Arial" w:hAnsi="Arial" w:cs="Arial"/>
          <w:b/>
          <w:bCs/>
          <w:szCs w:val="26"/>
          <w:lang w:val="en-GB"/>
        </w:rPr>
        <w:t>Upscreen</w:t>
      </w:r>
      <w:r>
        <w:rPr>
          <w:rFonts w:ascii="Arial" w:hAnsi="Arial" w:cs="Arial" w:hint="cs"/>
          <w:b/>
          <w:bCs/>
          <w:sz w:val="28"/>
          <w:szCs w:val="26"/>
          <w:rtl/>
          <w:lang w:val="en-GB"/>
        </w:rPr>
        <w:t xml:space="preserve"> בגודל דגימה</w:t>
      </w:r>
    </w:p>
    <w:p w14:paraId="6BB9536D" w14:textId="77777777" w:rsidR="00000000" w:rsidRDefault="00000000">
      <w:pPr>
        <w:spacing w:before="120"/>
        <w:rPr>
          <w:rFonts w:ascii="Arial" w:hAnsi="Arial" w:cs="Arial" w:hint="cs"/>
          <w:sz w:val="20"/>
          <w:szCs w:val="22"/>
          <w:rtl/>
          <w:lang w:val="en-GB"/>
        </w:rPr>
      </w:pPr>
      <w:r>
        <w:rPr>
          <w:rFonts w:ascii="Arial" w:hAnsi="Arial" w:cs="Arial" w:hint="cs"/>
          <w:sz w:val="20"/>
          <w:szCs w:val="22"/>
          <w:rtl/>
          <w:lang w:val="en-GB"/>
        </w:rPr>
        <w:t xml:space="preserve">"השימוש בבדיקת </w:t>
      </w:r>
      <w:r>
        <w:rPr>
          <w:rFonts w:ascii="Arial" w:hAnsi="Arial" w:cs="Arial"/>
          <w:sz w:val="20"/>
          <w:szCs w:val="22"/>
          <w:lang w:val="en-GB"/>
        </w:rPr>
        <w:t>Upscreen</w:t>
      </w:r>
      <w:r>
        <w:rPr>
          <w:rFonts w:ascii="Arial" w:hAnsi="Arial" w:cs="Arial" w:hint="cs"/>
          <w:sz w:val="20"/>
          <w:szCs w:val="22"/>
          <w:rtl/>
          <w:lang w:val="en-GB"/>
        </w:rPr>
        <w:t xml:space="preserve"> בגודל דגימה מאיץ את זמן היציאה לשוק ומקצץ בעלויות של לקוחות </w:t>
      </w:r>
      <w:r>
        <w:rPr>
          <w:rFonts w:ascii="Arial" w:hAnsi="Arial" w:cs="Arial"/>
          <w:sz w:val="20"/>
          <w:szCs w:val="22"/>
        </w:rPr>
        <w:t>Samtec</w:t>
      </w:r>
      <w:r>
        <w:rPr>
          <w:rFonts w:ascii="Arial" w:hAnsi="Arial" w:cs="Arial" w:hint="cs"/>
          <w:sz w:val="20"/>
          <w:szCs w:val="22"/>
          <w:rtl/>
        </w:rPr>
        <w:t>", אמר איוואן באומר (</w:t>
      </w:r>
      <w:r>
        <w:rPr>
          <w:rFonts w:ascii="Arial" w:hAnsi="Arial" w:cs="Arial"/>
          <w:sz w:val="20"/>
          <w:szCs w:val="22"/>
        </w:rPr>
        <w:t>Evan Baumer</w:t>
      </w:r>
      <w:r>
        <w:rPr>
          <w:rFonts w:ascii="Arial" w:hAnsi="Arial" w:cs="Arial" w:hint="cs"/>
          <w:sz w:val="20"/>
          <w:szCs w:val="22"/>
          <w:rtl/>
        </w:rPr>
        <w:t>), מהנדס יישומים בתחום צבא וחלל</w:t>
      </w:r>
      <w:r>
        <w:rPr>
          <w:rFonts w:ascii="Arial" w:hAnsi="Arial" w:cs="Arial" w:hint="eastAsia"/>
          <w:sz w:val="20"/>
          <w:szCs w:val="22"/>
          <w:rtl/>
        </w:rPr>
        <w:t>–</w:t>
      </w:r>
      <w:r>
        <w:rPr>
          <w:rFonts w:ascii="Arial" w:hAnsi="Arial" w:cs="Arial" w:hint="cs"/>
          <w:sz w:val="20"/>
          <w:szCs w:val="22"/>
          <w:rtl/>
        </w:rPr>
        <w:t xml:space="preserve">אוויר בחברת </w:t>
      </w:r>
      <w:r>
        <w:rPr>
          <w:rFonts w:ascii="Arial" w:hAnsi="Arial" w:cs="Arial"/>
          <w:sz w:val="20"/>
          <w:szCs w:val="22"/>
        </w:rPr>
        <w:t>Samtec</w:t>
      </w:r>
      <w:r>
        <w:rPr>
          <w:rFonts w:ascii="Arial" w:hAnsi="Arial" w:cs="Arial" w:hint="cs"/>
          <w:sz w:val="20"/>
          <w:szCs w:val="22"/>
          <w:rtl/>
        </w:rPr>
        <w:t xml:space="preserve">. "לדוגמה, הממוצע של עלות וזמן אספקה של הסריקה הפנימית שלנו לאצווה בגודל דגימה היא כשליש מהעלות ומזמן האספקה של בדיקות אצווה בייצור, אשר מבוצעות על ידי בית בדיקות צד שלישי". כל המכשירים וציוד המדידה שמשמשים את תוכנית בדיקות </w:t>
      </w:r>
      <w:r>
        <w:rPr>
          <w:rFonts w:ascii="Arial" w:hAnsi="Arial" w:cs="Arial"/>
          <w:sz w:val="20"/>
          <w:szCs w:val="22"/>
          <w:lang w:val="en-GB"/>
        </w:rPr>
        <w:t>Upscreen</w:t>
      </w:r>
      <w:r>
        <w:rPr>
          <w:rFonts w:ascii="Arial" w:hAnsi="Arial" w:cs="Arial" w:hint="cs"/>
          <w:sz w:val="20"/>
          <w:szCs w:val="22"/>
          <w:rtl/>
          <w:lang w:val="en-GB"/>
        </w:rPr>
        <w:t xml:space="preserve"> של </w:t>
      </w:r>
      <w:r>
        <w:rPr>
          <w:rFonts w:ascii="Arial" w:hAnsi="Arial" w:cs="Arial"/>
          <w:sz w:val="20"/>
          <w:szCs w:val="22"/>
        </w:rPr>
        <w:t>Samtec</w:t>
      </w:r>
      <w:r>
        <w:rPr>
          <w:rFonts w:ascii="Arial" w:hAnsi="Arial" w:cs="Arial" w:hint="cs"/>
          <w:sz w:val="20"/>
          <w:szCs w:val="22"/>
          <w:rtl/>
        </w:rPr>
        <w:t xml:space="preserve"> מכוילים לפי התקנים הניתנים למעקב של המכון הלאומי האמריקאי לתקנים ולטכנולוגיה (</w:t>
      </w:r>
      <w:r>
        <w:rPr>
          <w:rFonts w:ascii="Arial" w:hAnsi="Arial" w:cs="Arial"/>
          <w:sz w:val="20"/>
          <w:szCs w:val="22"/>
          <w:lang w:val="en-GB"/>
        </w:rPr>
        <w:t>NIST</w:t>
      </w:r>
      <w:r>
        <w:rPr>
          <w:rFonts w:ascii="Arial" w:hAnsi="Arial" w:cs="Arial" w:hint="cs"/>
          <w:sz w:val="20"/>
          <w:szCs w:val="22"/>
          <w:rtl/>
        </w:rPr>
        <w:t xml:space="preserve">), ולפי התקנים </w:t>
      </w:r>
      <w:r>
        <w:rPr>
          <w:rFonts w:ascii="Arial" w:hAnsi="Arial" w:cs="Arial"/>
          <w:sz w:val="20"/>
          <w:szCs w:val="22"/>
          <w:lang w:val="en-GB"/>
        </w:rPr>
        <w:t>ISO 10012–1</w:t>
      </w:r>
      <w:r>
        <w:rPr>
          <w:rFonts w:ascii="Arial" w:hAnsi="Arial" w:cs="Arial" w:hint="cs"/>
          <w:sz w:val="20"/>
          <w:szCs w:val="22"/>
          <w:rtl/>
        </w:rPr>
        <w:t xml:space="preserve"> ו- </w:t>
      </w:r>
      <w:r>
        <w:rPr>
          <w:rFonts w:ascii="Arial" w:hAnsi="Arial" w:cs="Arial"/>
          <w:sz w:val="20"/>
          <w:szCs w:val="22"/>
          <w:lang w:val="en-GB"/>
        </w:rPr>
        <w:t>ANSI/NCSL 2540–1</w:t>
      </w:r>
      <w:r>
        <w:rPr>
          <w:rFonts w:ascii="Arial" w:hAnsi="Arial" w:cs="Arial" w:hint="cs"/>
          <w:sz w:val="20"/>
          <w:szCs w:val="22"/>
          <w:rtl/>
          <w:lang w:val="en-GB"/>
        </w:rPr>
        <w:t>, על פי הישים מביניהם.</w:t>
      </w:r>
    </w:p>
    <w:p w14:paraId="3FC265DF" w14:textId="77777777" w:rsidR="00000000" w:rsidRDefault="00000000">
      <w:pPr>
        <w:spacing w:before="120"/>
        <w:rPr>
          <w:rFonts w:ascii="Arial" w:hAnsi="Arial" w:cs="Arial" w:hint="cs"/>
          <w:sz w:val="20"/>
          <w:szCs w:val="22"/>
          <w:rtl/>
          <w:lang w:val="en-GB"/>
        </w:rPr>
      </w:pPr>
      <w:r>
        <w:rPr>
          <w:rFonts w:ascii="Arial" w:hAnsi="Arial" w:cs="Arial"/>
          <w:sz w:val="20"/>
          <w:szCs w:val="22"/>
          <w:rtl/>
          <w:lang w:val="en-GB"/>
        </w:rPr>
        <w:br w:type="page"/>
      </w:r>
    </w:p>
    <w:p w14:paraId="1FCAFDCC" w14:textId="77777777" w:rsidR="00000000" w:rsidRDefault="00000000">
      <w:pPr>
        <w:spacing w:before="120"/>
        <w:rPr>
          <w:rFonts w:ascii="Arial" w:hAnsi="Arial" w:cs="Arial" w:hint="cs"/>
          <w:b/>
          <w:bCs/>
          <w:sz w:val="28"/>
          <w:szCs w:val="26"/>
          <w:rtl/>
          <w:lang w:val="en-GB"/>
        </w:rPr>
      </w:pPr>
      <w:r>
        <w:rPr>
          <w:rFonts w:ascii="Arial" w:hAnsi="Arial" w:cs="Arial" w:hint="cs"/>
          <w:b/>
          <w:bCs/>
          <w:sz w:val="28"/>
          <w:szCs w:val="26"/>
          <w:rtl/>
          <w:lang w:val="en-GB"/>
        </w:rPr>
        <w:t>מידע נוסף</w:t>
      </w:r>
    </w:p>
    <w:p w14:paraId="49773029" w14:textId="77777777" w:rsidR="00000000" w:rsidRDefault="00000000">
      <w:pPr>
        <w:spacing w:before="120"/>
        <w:rPr>
          <w:rFonts w:ascii="Arial" w:hAnsi="Arial" w:cs="Arial"/>
          <w:sz w:val="20"/>
          <w:szCs w:val="22"/>
          <w:rtl/>
        </w:rPr>
      </w:pPr>
      <w:r>
        <w:rPr>
          <w:rFonts w:ascii="Arial" w:hAnsi="Arial" w:cs="Arial" w:hint="cs"/>
          <w:sz w:val="20"/>
          <w:szCs w:val="22"/>
          <w:rtl/>
          <w:lang w:val="en-GB"/>
        </w:rPr>
        <w:t xml:space="preserve">צוות </w:t>
      </w:r>
      <w:r>
        <w:rPr>
          <w:rFonts w:ascii="Arial" w:hAnsi="Arial" w:cs="Arial"/>
          <w:sz w:val="20"/>
          <w:szCs w:val="22"/>
          <w:lang w:val="en-GB"/>
        </w:rPr>
        <w:t>MAP</w:t>
      </w:r>
      <w:r>
        <w:rPr>
          <w:rFonts w:ascii="Arial" w:hAnsi="Arial" w:cs="Arial" w:hint="cs"/>
          <w:sz w:val="20"/>
          <w:szCs w:val="22"/>
          <w:rtl/>
          <w:lang w:val="en-GB"/>
        </w:rPr>
        <w:t xml:space="preserve"> של </w:t>
      </w:r>
      <w:r>
        <w:rPr>
          <w:rFonts w:ascii="Arial" w:hAnsi="Arial" w:cs="Arial"/>
          <w:sz w:val="20"/>
          <w:szCs w:val="22"/>
        </w:rPr>
        <w:t>Samtec</w:t>
      </w:r>
      <w:r>
        <w:rPr>
          <w:rFonts w:ascii="Arial" w:hAnsi="Arial" w:cs="Arial" w:hint="cs"/>
          <w:sz w:val="20"/>
          <w:szCs w:val="22"/>
          <w:rtl/>
        </w:rPr>
        <w:t xml:space="preserve"> מוכן לשתף פעולה עם לקוחות כדי לפתח גישת בדיקה שמותאמת אישית לדרישות ייחודיות ליישום. </w:t>
      </w:r>
      <w:hyperlink r:id="rId7" w:history="1">
        <w:r>
          <w:rPr>
            <w:rStyle w:val="Hyperlink"/>
            <w:rFonts w:ascii="Arial" w:hAnsi="Arial" w:cs="Arial"/>
            <w:b/>
            <w:bCs/>
            <w:sz w:val="20"/>
            <w:szCs w:val="22"/>
          </w:rPr>
          <w:t>mapsales@samtec.com</w:t>
        </w:r>
      </w:hyperlink>
    </w:p>
    <w:p w14:paraId="7C7F5F72" w14:textId="77777777" w:rsidR="00000000" w:rsidRDefault="00000000">
      <w:pPr>
        <w:spacing w:before="120"/>
        <w:rPr>
          <w:rFonts w:hint="cs"/>
          <w:sz w:val="20"/>
          <w:szCs w:val="22"/>
          <w:rtl/>
        </w:rPr>
      </w:pPr>
      <w:r>
        <w:rPr>
          <w:rFonts w:ascii="Arial" w:hAnsi="Arial" w:cs="Arial" w:hint="cs"/>
          <w:sz w:val="20"/>
          <w:szCs w:val="22"/>
          <w:rtl/>
        </w:rPr>
        <w:t xml:space="preserve">לקבלת מידע נוסף על יכולות בדיקת </w:t>
      </w:r>
      <w:r>
        <w:rPr>
          <w:rFonts w:ascii="Arial" w:hAnsi="Arial" w:cs="Arial"/>
          <w:sz w:val="20"/>
          <w:szCs w:val="22"/>
          <w:lang w:val="en-GB"/>
        </w:rPr>
        <w:t>Upscreen</w:t>
      </w:r>
      <w:r>
        <w:rPr>
          <w:rFonts w:ascii="Arial" w:hAnsi="Arial" w:cs="Arial" w:hint="cs"/>
          <w:sz w:val="20"/>
          <w:szCs w:val="22"/>
          <w:rtl/>
          <w:lang w:val="en-GB"/>
        </w:rPr>
        <w:t xml:space="preserve"> </w:t>
      </w:r>
      <w:r>
        <w:rPr>
          <w:rFonts w:ascii="Arial" w:hAnsi="Arial" w:cs="Arial" w:hint="cs"/>
          <w:sz w:val="20"/>
          <w:szCs w:val="22"/>
          <w:rtl/>
        </w:rPr>
        <w:t xml:space="preserve">של </w:t>
      </w:r>
      <w:r>
        <w:rPr>
          <w:rFonts w:ascii="Arial" w:hAnsi="Arial" w:cs="Arial"/>
          <w:sz w:val="20"/>
          <w:szCs w:val="22"/>
        </w:rPr>
        <w:t>Samtec</w:t>
      </w:r>
      <w:r>
        <w:rPr>
          <w:rFonts w:ascii="Arial" w:hAnsi="Arial" w:cs="Arial" w:hint="cs"/>
          <w:sz w:val="20"/>
          <w:szCs w:val="22"/>
          <w:rtl/>
        </w:rPr>
        <w:t xml:space="preserve">, אפשר להוריד את העלון </w:t>
      </w:r>
      <w:r>
        <w:rPr>
          <w:rFonts w:ascii="Arial" w:hAnsi="Arial" w:cs="Arial"/>
          <w:sz w:val="20"/>
          <w:szCs w:val="22"/>
          <w:lang w:val="en-GB"/>
        </w:rPr>
        <w:t>Upscreen Testing</w:t>
      </w:r>
      <w:r>
        <w:rPr>
          <w:rFonts w:ascii="Arial" w:hAnsi="Arial" w:cs="Arial" w:hint="cs"/>
          <w:sz w:val="20"/>
          <w:szCs w:val="22"/>
          <w:rtl/>
          <w:lang w:val="en-GB"/>
        </w:rPr>
        <w:t xml:space="preserve"> בקובץ </w:t>
      </w:r>
      <w:hyperlink r:id="rId8" w:history="1">
        <w:r>
          <w:rPr>
            <w:rStyle w:val="Hyperlink"/>
            <w:rFonts w:ascii="Arial" w:hAnsi="Arial" w:cs="Calibri"/>
            <w:b/>
            <w:bCs/>
            <w:sz w:val="20"/>
            <w:szCs w:val="22"/>
          </w:rPr>
          <w:t>samtec-lot-screen-testing-ebrochure.pdf</w:t>
        </w:r>
      </w:hyperlink>
      <w:r>
        <w:rPr>
          <w:rFonts w:hint="cs"/>
          <w:sz w:val="20"/>
          <w:szCs w:val="22"/>
          <w:rtl/>
        </w:rPr>
        <w:t>.</w:t>
      </w:r>
    </w:p>
    <w:p w14:paraId="3D7D8E5A" w14:textId="77777777" w:rsidR="00000000" w:rsidRDefault="00000000">
      <w:pPr>
        <w:spacing w:before="120"/>
        <w:rPr>
          <w:rFonts w:ascii="Arial" w:hAnsi="Arial" w:cs="Arial" w:hint="cs"/>
          <w:sz w:val="20"/>
          <w:szCs w:val="22"/>
          <w:rtl/>
        </w:rPr>
      </w:pPr>
    </w:p>
    <w:p w14:paraId="14CAE8F1" w14:textId="77777777" w:rsidR="00000000" w:rsidRDefault="00000000">
      <w:pPr>
        <w:spacing w:before="120"/>
        <w:rPr>
          <w:rFonts w:ascii="Arial" w:hAnsi="Arial" w:cs="Arial"/>
          <w:b/>
          <w:bCs/>
          <w:sz w:val="28"/>
          <w:szCs w:val="26"/>
          <w:rtl/>
        </w:rPr>
      </w:pPr>
      <w:r>
        <w:rPr>
          <w:rFonts w:ascii="Arial" w:hAnsi="Arial" w:cs="Arial"/>
          <w:b/>
          <w:bCs/>
          <w:sz w:val="28"/>
          <w:szCs w:val="26"/>
          <w:rtl/>
        </w:rPr>
        <w:t xml:space="preserve">על-אודות חברת </w:t>
      </w:r>
      <w:r>
        <w:rPr>
          <w:rFonts w:ascii="Arial" w:hAnsi="Arial" w:cs="Arial"/>
          <w:b/>
          <w:bCs/>
          <w:szCs w:val="26"/>
        </w:rPr>
        <w:t>Samtec</w:t>
      </w:r>
    </w:p>
    <w:p w14:paraId="47571BA6" w14:textId="77777777" w:rsidR="00000000" w:rsidRDefault="00000000">
      <w:pPr>
        <w:spacing w:before="120"/>
        <w:rPr>
          <w:rFonts w:ascii="Arial" w:hAnsi="Arial" w:cs="Arial" w:hint="cs"/>
          <w:sz w:val="20"/>
          <w:szCs w:val="22"/>
          <w:rtl/>
        </w:rPr>
      </w:pPr>
      <w:r>
        <w:rPr>
          <w:rFonts w:ascii="Arial" w:hAnsi="Arial" w:cs="Arial"/>
          <w:sz w:val="20"/>
          <w:szCs w:val="22"/>
          <w:rtl/>
        </w:rPr>
        <w:t xml:space="preserve">חברת </w:t>
      </w:r>
      <w:r>
        <w:rPr>
          <w:rFonts w:ascii="Arial" w:hAnsi="Arial" w:cs="Arial"/>
          <w:sz w:val="20"/>
          <w:szCs w:val="22"/>
        </w:rPr>
        <w:t>Samtec</w:t>
      </w:r>
      <w:r>
        <w:rPr>
          <w:rFonts w:ascii="Arial" w:hAnsi="Arial" w:cs="Arial" w:hint="cs"/>
          <w:sz w:val="20"/>
          <w:szCs w:val="22"/>
          <w:rtl/>
        </w:rPr>
        <w:t>, שנוסדה בשנת 1976,</w:t>
      </w:r>
      <w:r>
        <w:rPr>
          <w:rFonts w:ascii="Arial" w:hAnsi="Arial" w:cs="Arial"/>
          <w:sz w:val="20"/>
          <w:szCs w:val="22"/>
          <w:rtl/>
        </w:rPr>
        <w:t xml:space="preserve"> </w:t>
      </w:r>
      <w:r>
        <w:rPr>
          <w:rFonts w:ascii="Arial" w:hAnsi="Arial" w:cs="Arial" w:hint="cs"/>
          <w:sz w:val="20"/>
          <w:szCs w:val="22"/>
          <w:rtl/>
        </w:rPr>
        <w:t>היא</w:t>
      </w:r>
      <w:r>
        <w:rPr>
          <w:rFonts w:ascii="Arial" w:hAnsi="Arial" w:cs="Arial"/>
          <w:sz w:val="20"/>
          <w:szCs w:val="22"/>
          <w:rtl/>
        </w:rPr>
        <w:t xml:space="preserve"> חברה גלובלית</w:t>
      </w:r>
      <w:r>
        <w:rPr>
          <w:rFonts w:ascii="Arial" w:hAnsi="Arial" w:cs="Arial" w:hint="cs"/>
          <w:sz w:val="20"/>
          <w:szCs w:val="22"/>
          <w:rtl/>
        </w:rPr>
        <w:t xml:space="preserve"> בבעלות פרטית,</w:t>
      </w:r>
      <w:r>
        <w:rPr>
          <w:rFonts w:ascii="Arial" w:hAnsi="Arial" w:cs="Arial"/>
          <w:sz w:val="20"/>
          <w:szCs w:val="22"/>
          <w:rtl/>
        </w:rPr>
        <w:t xml:space="preserve"> </w:t>
      </w:r>
      <w:r>
        <w:rPr>
          <w:rFonts w:ascii="Arial" w:hAnsi="Arial" w:cs="Arial" w:hint="cs"/>
          <w:sz w:val="20"/>
          <w:szCs w:val="22"/>
          <w:rtl/>
        </w:rPr>
        <w:t>שיש לה</w:t>
      </w:r>
      <w:r>
        <w:rPr>
          <w:rFonts w:ascii="Arial" w:hAnsi="Arial" w:cs="Arial"/>
          <w:sz w:val="20"/>
          <w:szCs w:val="22"/>
          <w:rtl/>
        </w:rPr>
        <w:t xml:space="preserve"> </w:t>
      </w:r>
      <w:r>
        <w:rPr>
          <w:rFonts w:ascii="Arial" w:hAnsi="Arial" w:cs="Arial" w:hint="cs"/>
          <w:sz w:val="20"/>
          <w:szCs w:val="22"/>
          <w:rtl/>
        </w:rPr>
        <w:t xml:space="preserve">היקף ייצור עולמי </w:t>
      </w:r>
      <w:r>
        <w:rPr>
          <w:rFonts w:ascii="Arial" w:hAnsi="Arial" w:cs="Arial"/>
          <w:sz w:val="20"/>
          <w:szCs w:val="22"/>
          <w:rtl/>
        </w:rPr>
        <w:t>של 1 מיליארד דולר</w:t>
      </w:r>
      <w:r>
        <w:rPr>
          <w:rFonts w:ascii="Arial" w:hAnsi="Arial" w:cs="Arial" w:hint="cs"/>
          <w:sz w:val="20"/>
          <w:szCs w:val="22"/>
          <w:rtl/>
        </w:rPr>
        <w:t>, אשר כולל</w:t>
      </w:r>
      <w:r>
        <w:rPr>
          <w:rFonts w:ascii="Arial" w:hAnsi="Arial" w:cs="Arial"/>
          <w:sz w:val="20"/>
          <w:szCs w:val="22"/>
          <w:rtl/>
        </w:rPr>
        <w:t xml:space="preserve"> קו רחב</w:t>
      </w:r>
      <w:r>
        <w:rPr>
          <w:rFonts w:ascii="Arial" w:hAnsi="Arial" w:cs="Arial" w:hint="cs"/>
          <w:sz w:val="20"/>
          <w:szCs w:val="22"/>
          <w:rtl/>
        </w:rPr>
        <w:t xml:space="preserve"> של</w:t>
      </w:r>
      <w:r>
        <w:rPr>
          <w:rFonts w:ascii="Arial" w:hAnsi="Arial" w:cs="Arial"/>
          <w:sz w:val="20"/>
          <w:szCs w:val="22"/>
          <w:rtl/>
        </w:rPr>
        <w:t xml:space="preserve"> פתרונות לחיבורים פנימיים במערכות אלקטרוניות, </w:t>
      </w:r>
      <w:r>
        <w:rPr>
          <w:rFonts w:ascii="Arial" w:hAnsi="Arial" w:cs="Arial" w:hint="cs"/>
          <w:sz w:val="20"/>
          <w:szCs w:val="22"/>
          <w:rtl/>
        </w:rPr>
        <w:t xml:space="preserve">לרבות </w:t>
      </w:r>
      <w:r>
        <w:rPr>
          <w:rFonts w:ascii="Arial" w:hAnsi="Arial" w:cs="Arial"/>
          <w:sz w:val="20"/>
          <w:szCs w:val="22"/>
          <w:rtl/>
        </w:rPr>
        <w:t>חיבורי</w:t>
      </w:r>
      <w:r>
        <w:rPr>
          <w:rFonts w:ascii="Arial" w:hAnsi="Arial" w:cs="Arial" w:hint="cs"/>
          <w:sz w:val="20"/>
          <w:szCs w:val="22"/>
          <w:rtl/>
        </w:rPr>
        <w:t>ם של</w:t>
      </w:r>
      <w:r>
        <w:rPr>
          <w:rFonts w:ascii="Arial" w:hAnsi="Arial" w:cs="Arial"/>
          <w:sz w:val="20"/>
          <w:szCs w:val="22"/>
          <w:rtl/>
        </w:rPr>
        <w:t xml:space="preserve"> מעגל למעגל במהירות גבוהה, כבלי</w:t>
      </w:r>
      <w:r>
        <w:rPr>
          <w:rFonts w:ascii="Arial" w:hAnsi="Arial" w:cs="Arial" w:hint="cs"/>
          <w:sz w:val="20"/>
          <w:szCs w:val="22"/>
          <w:rtl/>
        </w:rPr>
        <w:t>ם ל</w:t>
      </w:r>
      <w:r>
        <w:rPr>
          <w:rFonts w:ascii="Arial" w:hAnsi="Arial" w:cs="Arial"/>
          <w:sz w:val="20"/>
          <w:szCs w:val="22"/>
          <w:rtl/>
        </w:rPr>
        <w:t>מהירות גבוהה, אופטיקה לחיבורים פנימיים ול</w:t>
      </w:r>
      <w:r>
        <w:rPr>
          <w:rFonts w:ascii="Arial" w:hAnsi="Arial" w:cs="Arial" w:hint="cs"/>
          <w:sz w:val="20"/>
          <w:szCs w:val="22"/>
          <w:rtl/>
        </w:rPr>
        <w:t>ל</w:t>
      </w:r>
      <w:r>
        <w:rPr>
          <w:rFonts w:ascii="Arial" w:hAnsi="Arial" w:cs="Arial"/>
          <w:sz w:val="20"/>
          <w:szCs w:val="22"/>
          <w:rtl/>
        </w:rPr>
        <w:t>וחות חזית, רכיבי ת"ר (</w:t>
      </w:r>
      <w:r>
        <w:rPr>
          <w:rFonts w:ascii="Arial" w:hAnsi="Arial" w:cs="Arial"/>
          <w:sz w:val="20"/>
          <w:szCs w:val="22"/>
        </w:rPr>
        <w:t>RF</w:t>
      </w:r>
      <w:r>
        <w:rPr>
          <w:rFonts w:ascii="Arial" w:hAnsi="Arial" w:cs="Arial"/>
          <w:sz w:val="20"/>
          <w:szCs w:val="22"/>
          <w:rtl/>
        </w:rPr>
        <w:t>) מדויקים, חיבורי מערומים גמישים, רכיבי מיקרו</w:t>
      </w:r>
      <w:r>
        <w:rPr>
          <w:rFonts w:ascii="Arial" w:hAnsi="Arial" w:cs="Arial" w:hint="cs"/>
          <w:sz w:val="20"/>
          <w:szCs w:val="22"/>
          <w:rtl/>
        </w:rPr>
        <w:t>/</w:t>
      </w:r>
      <w:r>
        <w:rPr>
          <w:rFonts w:ascii="Arial" w:hAnsi="Arial" w:cs="Arial"/>
          <w:sz w:val="20"/>
          <w:szCs w:val="22"/>
          <w:rtl/>
        </w:rPr>
        <w:t xml:space="preserve"> רכיבים וכבלים מוקשחים.</w:t>
      </w:r>
      <w:r>
        <w:rPr>
          <w:rFonts w:ascii="Arial" w:hAnsi="Arial" w:cs="Arial" w:hint="cs"/>
          <w:sz w:val="20"/>
          <w:szCs w:val="22"/>
          <w:rtl/>
        </w:rPr>
        <w:t xml:space="preserve"> מרכזי הטכנולוגיה של </w:t>
      </w:r>
      <w:r>
        <w:rPr>
          <w:rFonts w:ascii="Arial" w:hAnsi="Arial" w:cs="Arial"/>
          <w:sz w:val="20"/>
          <w:szCs w:val="22"/>
        </w:rPr>
        <w:t>Samtec</w:t>
      </w:r>
      <w:r>
        <w:rPr>
          <w:rFonts w:ascii="Arial" w:hAnsi="Arial" w:cs="Arial" w:hint="cs"/>
          <w:sz w:val="20"/>
          <w:szCs w:val="22"/>
          <w:rtl/>
        </w:rPr>
        <w:t xml:space="preserve"> מוקדשים לפיתוח ולקידום טכנולוגיות, אסטרטגיות ומוצרים לאופטימיזציה של ביצועים וכן עלויות של מערכות משבבים חשופים עד לממשקים הממוקמים במרחק של 100 מטרים כולל כל נקודות החיבורים הפנימיים שביניהם. </w:t>
      </w:r>
      <w:r>
        <w:rPr>
          <w:rFonts w:ascii="Arial" w:hAnsi="Arial" w:cs="Arial"/>
          <w:sz w:val="20"/>
          <w:szCs w:val="22"/>
          <w:rtl/>
        </w:rPr>
        <w:t xml:space="preserve">עם יותר מ- 40 אתרים בינלאומיים ומוצרים שנמכרים ביותר מ- 125 ארצות שונות, </w:t>
      </w:r>
      <w:r>
        <w:rPr>
          <w:rFonts w:ascii="Arial" w:hAnsi="Arial" w:cs="Arial" w:hint="cs"/>
          <w:sz w:val="20"/>
          <w:szCs w:val="22"/>
          <w:rtl/>
        </w:rPr>
        <w:t>ה</w:t>
      </w:r>
      <w:r>
        <w:rPr>
          <w:rFonts w:ascii="Arial" w:hAnsi="Arial" w:cs="Arial"/>
          <w:sz w:val="20"/>
          <w:szCs w:val="22"/>
          <w:rtl/>
        </w:rPr>
        <w:t>נוכחות ה</w:t>
      </w:r>
      <w:r>
        <w:rPr>
          <w:rFonts w:ascii="Arial" w:hAnsi="Arial" w:cs="Arial" w:hint="cs"/>
          <w:sz w:val="20"/>
          <w:szCs w:val="22"/>
          <w:rtl/>
        </w:rPr>
        <w:t>עולמ</w:t>
      </w:r>
      <w:r>
        <w:rPr>
          <w:rFonts w:ascii="Arial" w:hAnsi="Arial" w:cs="Arial"/>
          <w:sz w:val="20"/>
          <w:szCs w:val="22"/>
          <w:rtl/>
        </w:rPr>
        <w:t xml:space="preserve">ית של </w:t>
      </w:r>
      <w:r>
        <w:rPr>
          <w:rFonts w:ascii="Arial" w:hAnsi="Arial" w:cs="Arial"/>
          <w:sz w:val="20"/>
          <w:szCs w:val="22"/>
        </w:rPr>
        <w:t>Samtec</w:t>
      </w:r>
      <w:r>
        <w:rPr>
          <w:rFonts w:ascii="Arial" w:hAnsi="Arial" w:cs="Arial"/>
          <w:sz w:val="20"/>
          <w:szCs w:val="22"/>
          <w:rtl/>
        </w:rPr>
        <w:t xml:space="preserve"> מ</w:t>
      </w:r>
      <w:r>
        <w:rPr>
          <w:rFonts w:ascii="Arial" w:hAnsi="Arial" w:cs="Arial" w:hint="cs"/>
          <w:sz w:val="20"/>
          <w:szCs w:val="22"/>
          <w:rtl/>
        </w:rPr>
        <w:t>עניקה</w:t>
      </w:r>
      <w:r>
        <w:rPr>
          <w:rFonts w:ascii="Arial" w:hAnsi="Arial" w:cs="Arial"/>
          <w:sz w:val="20"/>
          <w:szCs w:val="22"/>
          <w:rtl/>
        </w:rPr>
        <w:t xml:space="preserve"> ללקוחות</w:t>
      </w:r>
      <w:r>
        <w:rPr>
          <w:rFonts w:ascii="Arial" w:hAnsi="Arial" w:cs="Arial" w:hint="cs"/>
          <w:sz w:val="20"/>
          <w:szCs w:val="22"/>
          <w:rtl/>
        </w:rPr>
        <w:t>יה</w:t>
      </w:r>
      <w:r>
        <w:rPr>
          <w:rFonts w:ascii="Arial" w:hAnsi="Arial" w:cs="Arial"/>
          <w:sz w:val="20"/>
          <w:szCs w:val="22"/>
          <w:rtl/>
        </w:rPr>
        <w:t xml:space="preserve"> </w:t>
      </w:r>
      <w:r>
        <w:rPr>
          <w:rFonts w:ascii="Arial" w:hAnsi="Arial" w:cs="Arial" w:hint="cs"/>
          <w:sz w:val="20"/>
          <w:szCs w:val="22"/>
          <w:rtl/>
        </w:rPr>
        <w:t xml:space="preserve">אפשרות </w:t>
      </w:r>
      <w:r>
        <w:rPr>
          <w:rFonts w:ascii="Arial" w:hAnsi="Arial" w:cs="Arial"/>
          <w:sz w:val="20"/>
          <w:szCs w:val="22"/>
          <w:rtl/>
        </w:rPr>
        <w:t xml:space="preserve">לקבל שירות </w:t>
      </w:r>
      <w:r>
        <w:rPr>
          <w:rFonts w:ascii="Arial" w:hAnsi="Arial" w:cs="Arial" w:hint="cs"/>
          <w:sz w:val="20"/>
          <w:szCs w:val="22"/>
          <w:rtl/>
        </w:rPr>
        <w:t>ללא</w:t>
      </w:r>
      <w:r>
        <w:rPr>
          <w:rFonts w:ascii="Arial" w:hAnsi="Arial" w:cs="Arial"/>
          <w:sz w:val="20"/>
          <w:szCs w:val="22"/>
          <w:rtl/>
        </w:rPr>
        <w:t xml:space="preserve"> </w:t>
      </w:r>
      <w:r>
        <w:rPr>
          <w:rFonts w:ascii="Arial" w:hAnsi="Arial" w:cs="Arial" w:hint="cs"/>
          <w:sz w:val="20"/>
          <w:szCs w:val="22"/>
          <w:rtl/>
        </w:rPr>
        <w:t>תחרות</w:t>
      </w:r>
      <w:r>
        <w:rPr>
          <w:rFonts w:ascii="Arial" w:hAnsi="Arial" w:cs="Arial"/>
          <w:sz w:val="20"/>
          <w:szCs w:val="22"/>
          <w:rtl/>
        </w:rPr>
        <w:t xml:space="preserve">. לפרטים נוספים, בקר בכתובת: </w:t>
      </w:r>
      <w:hyperlink r:id="rId9" w:history="1">
        <w:r>
          <w:rPr>
            <w:rStyle w:val="Hyperlink"/>
            <w:rFonts w:ascii="Arial" w:hAnsi="Arial" w:cs="Calibri"/>
            <w:sz w:val="20"/>
            <w:szCs w:val="22"/>
            <w:shd w:val="clear" w:color="auto" w:fill="FFFFFF"/>
          </w:rPr>
          <w:t>http://www.samtec.com</w:t>
        </w:r>
      </w:hyperlink>
      <w:r>
        <w:rPr>
          <w:rFonts w:ascii="Arial" w:hAnsi="Arial" w:cs="Arial"/>
          <w:sz w:val="20"/>
          <w:szCs w:val="22"/>
          <w:rtl/>
        </w:rPr>
        <w:t>.</w:t>
      </w:r>
    </w:p>
    <w:p w14:paraId="73CC8EB0" w14:textId="77777777" w:rsidR="00000000" w:rsidRDefault="00000000">
      <w:pPr>
        <w:spacing w:before="120"/>
        <w:rPr>
          <w:rFonts w:ascii="Arial" w:hAnsi="Arial" w:cs="Arial" w:hint="cs"/>
          <w:sz w:val="20"/>
          <w:szCs w:val="22"/>
          <w:rtl/>
        </w:rPr>
      </w:pPr>
    </w:p>
    <w:p w14:paraId="098AD88C" w14:textId="77777777" w:rsidR="00817914" w:rsidRDefault="00817914">
      <w:pPr>
        <w:spacing w:before="120"/>
        <w:rPr>
          <w:rFonts w:ascii="Arial" w:hAnsi="Arial" w:cs="Arial" w:hint="cs"/>
          <w:sz w:val="20"/>
          <w:szCs w:val="22"/>
        </w:rPr>
      </w:pPr>
    </w:p>
    <w:sectPr w:rsidR="00817914">
      <w:headerReference w:type="default" r:id="rId10"/>
      <w:pgSz w:w="12240" w:h="15840"/>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D6E2" w14:textId="77777777" w:rsidR="00386539" w:rsidRDefault="00386539">
      <w:r>
        <w:separator/>
      </w:r>
    </w:p>
  </w:endnote>
  <w:endnote w:type="continuationSeparator" w:id="0">
    <w:p w14:paraId="103362FB" w14:textId="77777777" w:rsidR="00386539" w:rsidRDefault="0038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273A" w14:textId="77777777" w:rsidR="00386539" w:rsidRDefault="00386539">
      <w:r>
        <w:separator/>
      </w:r>
    </w:p>
  </w:footnote>
  <w:footnote w:type="continuationSeparator" w:id="0">
    <w:p w14:paraId="73C78CC7" w14:textId="77777777" w:rsidR="00386539" w:rsidRDefault="0038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48F9" w14:textId="77777777" w:rsidR="00000000" w:rsidRDefault="00000000">
    <w:pPr>
      <w:pStyle w:val="Header"/>
      <w:rPr>
        <w:rtl/>
      </w:rPr>
    </w:pPr>
    <w:r>
      <w:rPr>
        <w:noProof/>
      </w:rPr>
      <w:pict w14:anchorId="3C54E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black and orange logo&#10;&#10;Description automatically generated" style="width:115.5pt;height:33.75pt;visibility:visible">
          <v:imagedata r:id="rId1" o:title="A black and orange logo&#10;&#10;Description automatically generated"/>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6B7"/>
    <w:rsid w:val="0013196C"/>
    <w:rsid w:val="0016011F"/>
    <w:rsid w:val="001716B7"/>
    <w:rsid w:val="00386539"/>
    <w:rsid w:val="004F1946"/>
    <w:rsid w:val="00817914"/>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9AF558"/>
  <w15:chartTrackingRefBased/>
  <w15:docId w15:val="{AF3B8B64-92D1-4BA7-BAC5-B0CE7DC5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val="en-US" w:eastAsia="he-IL" w:bidi="he-I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dendocs.samtec.com/ebrochures/samtec-lot-screen-testing-ebrochure.pdf" TargetMode="External"/><Relationship Id="rId3" Type="http://schemas.openxmlformats.org/officeDocument/2006/relationships/webSettings" Target="webSettings.xml"/><Relationship Id="rId7" Type="http://schemas.openxmlformats.org/officeDocument/2006/relationships/hyperlink" Target="mailto:mapsales@samtec.com?subject=Lot%20Sample%20Screening%20Inquir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am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2841</Characters>
  <Application>Microsoft Office Word</Application>
  <DocSecurity>0</DocSecurity>
  <Lines>55</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חברת Samtec מציעה בדיקות Upscreen כדי להאיץ את זמן היציאה לשוק של מוצרים צבאיים ואוויר</vt:lpstr>
      <vt:lpstr>חברת Samtec מציעה בדיקות Upscreen כדי להאיץ את זמן היציאה לשוק של מוצרים צבאיים ואוויר</vt:lpstr>
    </vt:vector>
  </TitlesOfParts>
  <Company>H. G. Glucksam</Company>
  <LinksUpToDate>false</LinksUpToDate>
  <CharactersWithSpaces>3360</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262144</vt:i4>
      </vt:variant>
      <vt:variant>
        <vt:i4>3</vt:i4>
      </vt:variant>
      <vt:variant>
        <vt:i4>0</vt:i4>
      </vt:variant>
      <vt:variant>
        <vt:i4>5</vt:i4>
      </vt:variant>
      <vt:variant>
        <vt:lpwstr>https://suddendocs.samtec.com/ebrochures/samtec-lot-screen-testing-ebrochure.pdf</vt:lpwstr>
      </vt:variant>
      <vt:variant>
        <vt:lpwstr/>
      </vt:variant>
      <vt:variant>
        <vt:i4>7602198</vt:i4>
      </vt:variant>
      <vt:variant>
        <vt:i4>0</vt:i4>
      </vt:variant>
      <vt:variant>
        <vt:i4>0</vt:i4>
      </vt:variant>
      <vt:variant>
        <vt:i4>5</vt:i4>
      </vt:variant>
      <vt:variant>
        <vt:lpwstr>mailto:mapsales@samtec.com?subject=Lot%20Sample%20Screening%20Inquiry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חברת Samtec מציעה בדיקות Upscreen כדי להאיץ את זמן היציאה לשוק של מוצרים צבאיים ואוויר</dc:title>
  <dc:subject/>
  <dc:creator>H. G. Glucksam</dc:creator>
  <cp:keywords/>
  <dc:description/>
  <cp:lastModifiedBy>Gwenfair Rousselot-Jones</cp:lastModifiedBy>
  <cp:revision>2</cp:revision>
  <dcterms:created xsi:type="dcterms:W3CDTF">2026-03-23T12:51:00Z</dcterms:created>
  <dcterms:modified xsi:type="dcterms:W3CDTF">2026-03-23T12:51:00Z</dcterms:modified>
</cp:coreProperties>
</file>