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AFD8" w14:textId="77777777" w:rsidR="008379BB" w:rsidRPr="00774C91" w:rsidRDefault="00000000" w:rsidP="008379BB">
      <w:pPr>
        <w:rPr>
          <w:lang w:val="it-IT"/>
        </w:rPr>
      </w:pPr>
      <w:r w:rsidRPr="008379BB">
        <w:rPr>
          <w:lang w:val="it-IT"/>
        </w:rPr>
        <w:t> </w:t>
      </w:r>
    </w:p>
    <w:p w14:paraId="750BCCF4" w14:textId="73A8A325" w:rsidR="001D1863" w:rsidRPr="00774C91" w:rsidRDefault="00000000" w:rsidP="001D1863">
      <w:pPr>
        <w:rPr>
          <w:b/>
          <w:bCs/>
          <w:sz w:val="32"/>
          <w:szCs w:val="32"/>
          <w:lang w:val="it-IT"/>
        </w:rPr>
      </w:pPr>
      <w:r w:rsidRPr="001D1863">
        <w:rPr>
          <w:b/>
          <w:bCs/>
          <w:sz w:val="32"/>
          <w:szCs w:val="32"/>
          <w:lang w:val="it-IT"/>
        </w:rPr>
        <w:t xml:space="preserve">Un nuovo cablaggio </w:t>
      </w:r>
      <w:proofErr w:type="spellStart"/>
      <w:r w:rsidRPr="001D1863">
        <w:rPr>
          <w:b/>
          <w:bCs/>
          <w:sz w:val="32"/>
          <w:szCs w:val="32"/>
          <w:lang w:val="it-IT"/>
        </w:rPr>
        <w:t>Samtec</w:t>
      </w:r>
      <w:proofErr w:type="spellEnd"/>
      <w:r w:rsidRPr="001D1863">
        <w:rPr>
          <w:b/>
          <w:bCs/>
          <w:sz w:val="32"/>
          <w:szCs w:val="32"/>
          <w:lang w:val="it-IT"/>
        </w:rPr>
        <w:t xml:space="preserve"> adatto per prove su moduli PAM4 </w:t>
      </w:r>
      <w:r w:rsidR="007A092E">
        <w:rPr>
          <w:b/>
          <w:bCs/>
          <w:sz w:val="32"/>
          <w:szCs w:val="32"/>
          <w:lang w:val="it-IT"/>
        </w:rPr>
        <w:t>fino a 224 Gbps</w:t>
      </w:r>
      <w:r w:rsidRPr="001D1863">
        <w:rPr>
          <w:bCs/>
          <w:sz w:val="32"/>
          <w:szCs w:val="32"/>
          <w:lang w:val="it-IT"/>
        </w:rPr>
        <w:t xml:space="preserve"> </w:t>
      </w:r>
    </w:p>
    <w:p w14:paraId="60C2A486" w14:textId="2787A75F" w:rsidR="00795E70" w:rsidRPr="00774C91" w:rsidRDefault="00000000" w:rsidP="001431DB">
      <w:pPr>
        <w:rPr>
          <w:lang w:val="it-IT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2AE519" wp14:editId="7FA3D934">
            <wp:simplePos x="0" y="0"/>
            <wp:positionH relativeFrom="column">
              <wp:posOffset>0</wp:posOffset>
            </wp:positionH>
            <wp:positionV relativeFrom="paragraph">
              <wp:posOffset>2138</wp:posOffset>
            </wp:positionV>
            <wp:extent cx="1827763" cy="1307609"/>
            <wp:effectExtent l="0" t="0" r="1270" b="6985"/>
            <wp:wrapSquare wrapText="bothSides"/>
            <wp:docPr id="23888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20453" name="Picture 238883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763" cy="130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1DB">
        <w:rPr>
          <w:b/>
          <w:bCs/>
          <w:lang w:val="it-IT"/>
        </w:rPr>
        <w:t>Martedì 14 aprile 2026 [New Albany, Indiana] —</w:t>
      </w:r>
      <w:r w:rsidR="001431DB">
        <w:rPr>
          <w:lang w:val="it-IT"/>
        </w:rPr>
        <w:t xml:space="preserve"> </w:t>
      </w:r>
      <w:proofErr w:type="spellStart"/>
      <w:r w:rsidR="001431DB">
        <w:rPr>
          <w:lang w:val="it-IT"/>
        </w:rPr>
        <w:t>Samtec</w:t>
      </w:r>
      <w:proofErr w:type="spellEnd"/>
      <w:r w:rsidR="001431DB">
        <w:rPr>
          <w:lang w:val="it-IT"/>
        </w:rPr>
        <w:t xml:space="preserve">, Inc., leader nel settore dei connettori, annuncia il lancio del nuovo cablaggio per prove ad alta stabilità di fase e ampiezza BE71A Bulls Eye®. Ottimizzato per l’uso fino a 71 GHz a supporto delle prove su moduli PAM4 </w:t>
      </w:r>
      <w:proofErr w:type="spellStart"/>
      <w:r w:rsidR="001431DB">
        <w:rPr>
          <w:lang w:val="it-IT"/>
        </w:rPr>
        <w:t>SerDes</w:t>
      </w:r>
      <w:proofErr w:type="spellEnd"/>
      <w:r w:rsidR="001431DB">
        <w:rPr>
          <w:lang w:val="it-IT"/>
        </w:rPr>
        <w:t xml:space="preserve"> </w:t>
      </w:r>
      <w:r w:rsidR="007A092E">
        <w:rPr>
          <w:lang w:val="it-IT"/>
        </w:rPr>
        <w:t>fino a 224 Gbps</w:t>
      </w:r>
      <w:r w:rsidR="001431DB">
        <w:rPr>
          <w:lang w:val="it-IT"/>
        </w:rPr>
        <w:t xml:space="preserve">, questo nuovo prodotto combina l’esecuzione a ridotto ingombro e montaggio a compressione del popolare cablaggio Bulls Eye con i cavi a microonde altamente performanti </w:t>
      </w:r>
      <w:proofErr w:type="spellStart"/>
      <w:r w:rsidR="001431DB">
        <w:rPr>
          <w:lang w:val="it-IT"/>
        </w:rPr>
        <w:t>Samtec</w:t>
      </w:r>
      <w:proofErr w:type="spellEnd"/>
      <w:r w:rsidR="001431DB">
        <w:rPr>
          <w:lang w:val="it-IT"/>
        </w:rPr>
        <w:t xml:space="preserve"> </w:t>
      </w:r>
      <w:proofErr w:type="spellStart"/>
      <w:r w:rsidR="001431DB">
        <w:rPr>
          <w:lang w:val="it-IT"/>
        </w:rPr>
        <w:t>Nitrowave</w:t>
      </w:r>
      <w:r w:rsidR="00B01CC4" w:rsidRPr="0074731D">
        <w:rPr>
          <w:sz w:val="16"/>
          <w:szCs w:val="16"/>
          <w:vertAlign w:val="superscript"/>
          <w:lang w:val="it-IT"/>
        </w:rPr>
        <w:t>TM</w:t>
      </w:r>
      <w:proofErr w:type="spellEnd"/>
      <w:r w:rsidR="001431DB">
        <w:rPr>
          <w:lang w:val="it-IT"/>
        </w:rPr>
        <w:t xml:space="preserve"> dal distintivo colore arancione. </w:t>
      </w:r>
    </w:p>
    <w:p w14:paraId="262E9A7F" w14:textId="77777777" w:rsidR="00B123CC" w:rsidRPr="00774C91" w:rsidRDefault="00000000" w:rsidP="00B123CC">
      <w:pPr>
        <w:rPr>
          <w:b/>
          <w:bCs/>
          <w:lang w:val="it-IT"/>
        </w:rPr>
      </w:pPr>
      <w:r w:rsidRPr="00FF3BE2">
        <w:rPr>
          <w:b/>
          <w:bCs/>
          <w:lang w:val="it-IT"/>
        </w:rPr>
        <w:t>Perché la stabilità di fase conta</w:t>
      </w:r>
    </w:p>
    <w:p w14:paraId="64E9D09A" w14:textId="0CC0C2E0" w:rsidR="00B123CC" w:rsidRPr="00774C91" w:rsidRDefault="00000000" w:rsidP="00B123CC">
      <w:pPr>
        <w:rPr>
          <w:lang w:val="it-IT"/>
        </w:rPr>
      </w:pPr>
      <w:r w:rsidRPr="001431DB">
        <w:rPr>
          <w:lang w:val="it-IT"/>
        </w:rPr>
        <w:t xml:space="preserve">All’aumentare delle frequenze diventa sempre più importante l’adattamento di fase tra cablaggi, in quanto una temporizzazione precisa del segnale è cruciale per la valutazione delle prestazioni o il rilevamento di errori in una misurazione. Il </w:t>
      </w:r>
      <w:hyperlink r:id="rId9" w:history="1">
        <w:r w:rsidR="00B123CC" w:rsidRPr="00903961">
          <w:rPr>
            <w:rStyle w:val="Hyperlink"/>
            <w:lang w:val="it-IT"/>
          </w:rPr>
          <w:t>cablaggio per prove BE71A</w:t>
        </w:r>
      </w:hyperlink>
      <w:r w:rsidRPr="001431DB">
        <w:rPr>
          <w:lang w:val="it-IT"/>
        </w:rPr>
        <w:t xml:space="preserve"> offre un adattamento di fase di 0,5 </w:t>
      </w:r>
      <w:proofErr w:type="spellStart"/>
      <w:r w:rsidRPr="001431DB">
        <w:rPr>
          <w:lang w:val="it-IT"/>
        </w:rPr>
        <w:t>ps</w:t>
      </w:r>
      <w:proofErr w:type="spellEnd"/>
      <w:r w:rsidRPr="001431DB">
        <w:rPr>
          <w:lang w:val="it-IT"/>
        </w:rPr>
        <w:t xml:space="preserve">, ineguagliato nel settore. Ciò conta ai fini dell’integrità del segnale, dell’affidabilità della trasmissione e della riduzione dell’errore. I cavi </w:t>
      </w:r>
      <w:proofErr w:type="spellStart"/>
      <w:r w:rsidRPr="001431DB">
        <w:rPr>
          <w:lang w:val="it-IT"/>
        </w:rPr>
        <w:t>Nitrowave</w:t>
      </w:r>
      <w:proofErr w:type="spellEnd"/>
      <w:r w:rsidRPr="001431DB">
        <w:rPr>
          <w:lang w:val="it-IT"/>
        </w:rPr>
        <w:t xml:space="preserve"> </w:t>
      </w:r>
      <w:r w:rsidR="007A092E">
        <w:rPr>
          <w:lang w:val="it-IT"/>
        </w:rPr>
        <w:t xml:space="preserve">da </w:t>
      </w:r>
      <w:r w:rsidRPr="001431DB">
        <w:rPr>
          <w:lang w:val="it-IT"/>
        </w:rPr>
        <w:t xml:space="preserve">71 GHz impiegati nel cablaggio BE71A sono stati progettati specificamente per assicurare la stabilità di fase durante le modifiche e le regolazioni dei cavi e delle apparecchiature di prova. </w:t>
      </w:r>
    </w:p>
    <w:p w14:paraId="78F4954F" w14:textId="77777777" w:rsidR="00B123CC" w:rsidRPr="00774C91" w:rsidRDefault="00000000" w:rsidP="00B123CC">
      <w:pPr>
        <w:rPr>
          <w:b/>
          <w:bCs/>
          <w:lang w:val="it-IT"/>
        </w:rPr>
      </w:pPr>
      <w:r>
        <w:rPr>
          <w:b/>
          <w:bCs/>
          <w:lang w:val="it-IT"/>
        </w:rPr>
        <w:t>Studiati per l’esecuzione di prove</w:t>
      </w:r>
    </w:p>
    <w:p w14:paraId="5A10F115" w14:textId="401F8118" w:rsidR="00795E70" w:rsidRPr="00774C91" w:rsidRDefault="00000000" w:rsidP="00795E70">
      <w:pPr>
        <w:rPr>
          <w:lang w:val="it-IT"/>
        </w:rPr>
      </w:pPr>
      <w:r>
        <w:rPr>
          <w:lang w:val="it-IT"/>
        </w:rPr>
        <w:t xml:space="preserve">Ottimizzato per far fronte a problemi di assenza di flessibilità in vari scenari di </w:t>
      </w:r>
      <w:r w:rsidR="007A092E">
        <w:rPr>
          <w:lang w:val="it-IT"/>
        </w:rPr>
        <w:t>test</w:t>
      </w:r>
      <w:r>
        <w:rPr>
          <w:lang w:val="it-IT"/>
        </w:rPr>
        <w:t xml:space="preserve">, di costo e di ingombro, il cablaggio per prove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BE71A presenta connettori standard da 1,85 mm per il collegamento con la strumentazione, eliminando l’esigenza di aggiornare quest’ultima all’interfaccia di connessione da 1,0 mm spesso necessaria per prove PAM4 </w:t>
      </w:r>
      <w:r w:rsidR="007A092E">
        <w:rPr>
          <w:lang w:val="it-IT"/>
        </w:rPr>
        <w:t>fino a 224 Gbps</w:t>
      </w:r>
      <w:r>
        <w:rPr>
          <w:lang w:val="it-IT"/>
        </w:rPr>
        <w:t>.</w:t>
      </w:r>
    </w:p>
    <w:p w14:paraId="56FD965B" w14:textId="77777777" w:rsidR="001431DB" w:rsidRPr="00774C91" w:rsidRDefault="00000000" w:rsidP="001431DB">
      <w:pPr>
        <w:rPr>
          <w:b/>
          <w:bCs/>
          <w:lang w:val="it-IT"/>
        </w:rPr>
      </w:pPr>
      <w:r>
        <w:rPr>
          <w:lang w:val="it-IT"/>
        </w:rPr>
        <w:t xml:space="preserve">Configurato secondo una disposizione a due file, che supporta linee di trasmissione su scheda di circuiti stampati (PCB) tramite </w:t>
      </w:r>
      <w:proofErr w:type="spellStart"/>
      <w:r>
        <w:rPr>
          <w:lang w:val="it-IT"/>
        </w:rPr>
        <w:t>stripline</w:t>
      </w:r>
      <w:proofErr w:type="spellEnd"/>
      <w:r>
        <w:rPr>
          <w:lang w:val="it-IT"/>
        </w:rPr>
        <w:t xml:space="preserve"> o guida d’onda planare/microstriscia con impedenza di 50 ohm, il cablaggio per prove ad alta stabilità di fase e ampiezza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BE71A Bulls Eye prevede un montaggio a compressione sulla scheda per prove digitali ad alta velocità, per la caratterizzazione di moduli </w:t>
      </w:r>
      <w:proofErr w:type="spellStart"/>
      <w:r>
        <w:rPr>
          <w:lang w:val="it-IT"/>
        </w:rPr>
        <w:t>SerDes</w:t>
      </w:r>
      <w:proofErr w:type="spellEnd"/>
      <w:r>
        <w:rPr>
          <w:lang w:val="it-IT"/>
        </w:rPr>
        <w:t xml:space="preserve"> e per l’uso con apparecchiature di test automatiche. Inoltre è adatto per connessioni I/O e di pannelli </w:t>
      </w:r>
      <w:proofErr w:type="spellStart"/>
      <w:r>
        <w:rPr>
          <w:lang w:val="it-IT"/>
        </w:rPr>
        <w:t>multiporta</w:t>
      </w:r>
      <w:proofErr w:type="spellEnd"/>
      <w:r>
        <w:rPr>
          <w:lang w:val="it-IT"/>
        </w:rPr>
        <w:t xml:space="preserve"> ad alta densità.</w:t>
      </w:r>
    </w:p>
    <w:p w14:paraId="597E1831" w14:textId="13A850E9" w:rsidR="00411038" w:rsidRPr="00774C91" w:rsidRDefault="00000000" w:rsidP="00411038">
      <w:pPr>
        <w:rPr>
          <w:lang w:val="it-IT"/>
        </w:rPr>
      </w:pPr>
      <w:r w:rsidRPr="001431DB">
        <w:rPr>
          <w:lang w:val="it-IT"/>
        </w:rPr>
        <w:t xml:space="preserve">Alcuni clienti </w:t>
      </w:r>
      <w:proofErr w:type="spellStart"/>
      <w:r w:rsidRPr="001431DB">
        <w:rPr>
          <w:lang w:val="it-IT"/>
        </w:rPr>
        <w:t>Samtec</w:t>
      </w:r>
      <w:proofErr w:type="spellEnd"/>
      <w:r w:rsidRPr="001431DB">
        <w:rPr>
          <w:lang w:val="it-IT"/>
        </w:rPr>
        <w:t xml:space="preserve"> che già usano i cablaggi per prove BE71A li stanno già integrando direttamente nel pannello anteriore di apparecchiature di test </w:t>
      </w:r>
      <w:r w:rsidR="007A092E">
        <w:rPr>
          <w:lang w:val="it-IT"/>
        </w:rPr>
        <w:t>fino a 224 Gbps</w:t>
      </w:r>
      <w:r w:rsidRPr="001431DB">
        <w:rPr>
          <w:lang w:val="it-IT"/>
        </w:rPr>
        <w:t xml:space="preserve">, come quelle del bit </w:t>
      </w:r>
      <w:proofErr w:type="spellStart"/>
      <w:r w:rsidRPr="001431DB">
        <w:rPr>
          <w:lang w:val="it-IT"/>
        </w:rPr>
        <w:t>error</w:t>
      </w:r>
      <w:proofErr w:type="spellEnd"/>
      <w:r w:rsidRPr="001431DB">
        <w:rPr>
          <w:lang w:val="it-IT"/>
        </w:rPr>
        <w:t xml:space="preserve"> rate (BERT). Il cablaggio per prove BE71A può impiegato, senza essere modificato in modo rilevante, in applicazioni di test e misure su schede di valutazione più piccole e lunghezze di tracce più corte. Prevede un montaggio a compressione direttamente sulla scheda per essere collocato accanto al modulo </w:t>
      </w:r>
      <w:proofErr w:type="spellStart"/>
      <w:r w:rsidRPr="001431DB">
        <w:rPr>
          <w:lang w:val="it-IT"/>
        </w:rPr>
        <w:t>SerDes</w:t>
      </w:r>
      <w:proofErr w:type="spellEnd"/>
      <w:r w:rsidRPr="001431DB">
        <w:rPr>
          <w:lang w:val="it-IT"/>
        </w:rPr>
        <w:t xml:space="preserve"> da caratterizzare, riducendo la lunghezza delle tracce e la relativa attenuazione. </w:t>
      </w:r>
    </w:p>
    <w:p w14:paraId="1E7265A0" w14:textId="77777777" w:rsidR="007A092E" w:rsidRDefault="007A092E" w:rsidP="00411038">
      <w:pPr>
        <w:rPr>
          <w:b/>
          <w:bCs/>
          <w:lang w:val="it-IT"/>
        </w:rPr>
      </w:pPr>
    </w:p>
    <w:p w14:paraId="23F0E44E" w14:textId="77777777" w:rsidR="007A092E" w:rsidRDefault="007A092E" w:rsidP="00411038">
      <w:pPr>
        <w:rPr>
          <w:b/>
          <w:bCs/>
          <w:lang w:val="it-IT"/>
        </w:rPr>
      </w:pPr>
    </w:p>
    <w:p w14:paraId="4019A240" w14:textId="77777777" w:rsidR="007A092E" w:rsidRDefault="007A092E" w:rsidP="00411038">
      <w:pPr>
        <w:rPr>
          <w:b/>
          <w:bCs/>
          <w:lang w:val="it-IT"/>
        </w:rPr>
      </w:pPr>
    </w:p>
    <w:p w14:paraId="557308A9" w14:textId="6B73448C" w:rsidR="00411038" w:rsidRPr="00774C91" w:rsidRDefault="00000000" w:rsidP="00411038">
      <w:pPr>
        <w:rPr>
          <w:b/>
          <w:bCs/>
          <w:lang w:val="it-IT"/>
        </w:rPr>
      </w:pPr>
      <w:r w:rsidRPr="00411038">
        <w:rPr>
          <w:b/>
          <w:bCs/>
          <w:lang w:val="it-IT"/>
        </w:rPr>
        <w:t>Le configurazioni sono già disponibili</w:t>
      </w:r>
    </w:p>
    <w:p w14:paraId="392014B6" w14:textId="77777777" w:rsidR="00411038" w:rsidRPr="00774C91" w:rsidRDefault="00000000" w:rsidP="00411038">
      <w:pPr>
        <w:rPr>
          <w:lang w:val="it-IT"/>
        </w:rPr>
      </w:pPr>
      <w:r w:rsidRPr="001431DB">
        <w:rPr>
          <w:lang w:val="it-IT"/>
        </w:rPr>
        <w:t xml:space="preserve">I cablaggi per prove BE71A possono essere configurati con 4 o 8 posizioni per fila. La temperatura di funzionamento è specificata da -65 a +125 °C. Per saperne di più visitare </w:t>
      </w:r>
      <w:hyperlink r:id="rId10" w:history="1">
        <w:r w:rsidR="00411038" w:rsidRPr="00CD5525">
          <w:rPr>
            <w:rStyle w:val="Hyperlink"/>
            <w:lang w:val="it-IT"/>
          </w:rPr>
          <w:t>Samtec.com/</w:t>
        </w:r>
        <w:proofErr w:type="spellStart"/>
        <w:r w:rsidR="00411038" w:rsidRPr="00CD5525">
          <w:rPr>
            <w:rStyle w:val="Hyperlink"/>
            <w:lang w:val="it-IT"/>
          </w:rPr>
          <w:t>BullsEye</w:t>
        </w:r>
        <w:proofErr w:type="spellEnd"/>
      </w:hyperlink>
      <w:r w:rsidRPr="001431DB">
        <w:rPr>
          <w:lang w:val="it-IT"/>
        </w:rPr>
        <w:t xml:space="preserve">. </w:t>
      </w:r>
    </w:p>
    <w:p w14:paraId="1EC75160" w14:textId="77777777" w:rsidR="001431DB" w:rsidRPr="00774C91" w:rsidRDefault="00000000" w:rsidP="001431DB">
      <w:pPr>
        <w:rPr>
          <w:b/>
          <w:bCs/>
          <w:lang w:val="it-IT"/>
        </w:rPr>
      </w:pPr>
      <w:r w:rsidRPr="00FF3BE2">
        <w:rPr>
          <w:b/>
          <w:bCs/>
          <w:lang w:val="it-IT"/>
        </w:rPr>
        <w:t>Famiglia Bulls Eye</w:t>
      </w:r>
    </w:p>
    <w:p w14:paraId="737D37C8" w14:textId="77777777" w:rsidR="00774C91" w:rsidRDefault="00000000" w:rsidP="00774C91">
      <w:pPr>
        <w:rPr>
          <w:lang w:val="it-IT"/>
        </w:rPr>
      </w:pPr>
      <w:proofErr w:type="spellStart"/>
      <w:r w:rsidRPr="001431DB">
        <w:rPr>
          <w:lang w:val="it-IT"/>
        </w:rPr>
        <w:t>Samtec</w:t>
      </w:r>
      <w:proofErr w:type="spellEnd"/>
      <w:r w:rsidRPr="001431DB">
        <w:rPr>
          <w:lang w:val="it-IT"/>
        </w:rPr>
        <w:t xml:space="preserve"> ha lanciato il suo primo sistema per punti di prova </w:t>
      </w:r>
      <w:hyperlink r:id="rId11" w:history="1">
        <w:r w:rsidR="001431DB" w:rsidRPr="00EE4871">
          <w:rPr>
            <w:rStyle w:val="Hyperlink"/>
            <w:lang w:val="it-IT"/>
          </w:rPr>
          <w:t>Bulls Eye</w:t>
        </w:r>
      </w:hyperlink>
      <w:r w:rsidRPr="001431DB">
        <w:rPr>
          <w:lang w:val="it-IT"/>
        </w:rPr>
        <w:t xml:space="preserve"> nel 2011 per connessioni a 20 GHz e da allora la famiglia si è espansa rapidamente per includere varie frequenz</w:t>
      </w:r>
      <w:r w:rsidR="007A092E">
        <w:rPr>
          <w:lang w:val="it-IT"/>
        </w:rPr>
        <w:t>e</w:t>
      </w:r>
      <w:r w:rsidRPr="001431DB">
        <w:rPr>
          <w:lang w:val="it-IT"/>
        </w:rPr>
        <w:t xml:space="preserve"> – 40 GHz, 50 GHz, 70 GHz, 71 GHz, 90 GHz e 130 GHz (per prove fino a 448 Gbps).</w:t>
      </w:r>
    </w:p>
    <w:p w14:paraId="7F8B5303" w14:textId="77777777" w:rsidR="00774C91" w:rsidRDefault="00774C91" w:rsidP="00774C91">
      <w:pPr>
        <w:rPr>
          <w:lang w:val="it-IT"/>
        </w:rPr>
      </w:pPr>
    </w:p>
    <w:p w14:paraId="5E6C7F1F" w14:textId="25D1E001" w:rsidR="00774C91" w:rsidRPr="00774C91" w:rsidRDefault="00774C91" w:rsidP="00774C91">
      <w:pPr>
        <w:rPr>
          <w:lang w:val="it-IT"/>
        </w:rPr>
      </w:pPr>
      <w:r w:rsidRPr="00DE3D66">
        <w:rPr>
          <w:rFonts w:cs="Calibri"/>
          <w:b/>
          <w:bCs/>
          <w:color w:val="000000"/>
          <w:lang w:val="it-IT"/>
        </w:rPr>
        <w:t xml:space="preserve">Profilo di </w:t>
      </w:r>
      <w:proofErr w:type="spellStart"/>
      <w:r w:rsidRPr="00DE3D66">
        <w:rPr>
          <w:rFonts w:cs="Calibri"/>
          <w:b/>
          <w:bCs/>
          <w:color w:val="000000"/>
          <w:lang w:val="it-IT"/>
        </w:rPr>
        <w:t>Samtec</w:t>
      </w:r>
      <w:proofErr w:type="spellEnd"/>
    </w:p>
    <w:p w14:paraId="0355BBF4" w14:textId="77777777" w:rsidR="00774C91" w:rsidRPr="00DE3D66" w:rsidRDefault="00774C91" w:rsidP="00774C91">
      <w:pPr>
        <w:rPr>
          <w:lang w:val="it-IT"/>
        </w:rPr>
      </w:pPr>
      <w:r w:rsidRPr="00DE3D66">
        <w:rPr>
          <w:lang w:val="it-IT"/>
        </w:rPr>
        <w:t xml:space="preserve">Fondata nel 1976, </w:t>
      </w:r>
      <w:proofErr w:type="spellStart"/>
      <w:r w:rsidRPr="00DE3D66">
        <w:rPr>
          <w:lang w:val="it-IT"/>
        </w:rPr>
        <w:t>Samtec</w:t>
      </w:r>
      <w:proofErr w:type="spellEnd"/>
      <w:r w:rsidRPr="00DE3D66">
        <w:rPr>
          <w:lang w:val="it-IT"/>
        </w:rPr>
        <w:t xml:space="preserve"> è un’impresa internazionale a proprietà privata da 1 miliardo di dollari che produce una vasta gamma di soluzioni di interconnessione elettroniche – da scheda a scheda ad alta velocità, cavi per frequenze elevate, dispositivi ottici da pannello e </w:t>
      </w:r>
      <w:proofErr w:type="spellStart"/>
      <w:r w:rsidRPr="00DE3D66">
        <w:rPr>
          <w:lang w:val="it-IT"/>
        </w:rPr>
        <w:t>mid</w:t>
      </w:r>
      <w:proofErr w:type="spellEnd"/>
      <w:r w:rsidRPr="00DE3D66">
        <w:rPr>
          <w:lang w:val="it-IT"/>
        </w:rPr>
        <w:t xml:space="preserve">-board, componenti e cavi RF di precisione, per impilamento flessibile ultracompatti/estremamente robusti. I centri tecnologici </w:t>
      </w:r>
      <w:proofErr w:type="spellStart"/>
      <w:r w:rsidRPr="00DE3D66">
        <w:rPr>
          <w:lang w:val="it-IT"/>
        </w:rPr>
        <w:t>Samtec</w:t>
      </w:r>
      <w:proofErr w:type="spellEnd"/>
      <w:r w:rsidRPr="00DE3D66">
        <w:rPr>
          <w:lang w:val="it-IT"/>
        </w:rPr>
        <w:t xml:space="preserve"> si impegnano per sviluppare e migliorare tecnologie, strategie e prodotti al fine di ottimizzare sia le prestazioni che il costo dei sistemi – dalla semplice piastrina a un’interfaccia distante 100 metri – e tutti i punti di interconnessione intermedi. Con oltre 40 sedi nel mondo e prodotti venduti in più di 125 Paesi, </w:t>
      </w:r>
      <w:proofErr w:type="spellStart"/>
      <w:r w:rsidRPr="00DE3D66">
        <w:rPr>
          <w:lang w:val="it-IT"/>
        </w:rPr>
        <w:t>Samtec</w:t>
      </w:r>
      <w:proofErr w:type="spellEnd"/>
      <w:r w:rsidRPr="00DE3D66">
        <w:rPr>
          <w:lang w:val="it-IT"/>
        </w:rPr>
        <w:t xml:space="preserve"> vanta una presenza globale che le permette di offrire un servizio clienti ineguagliato. Per ulteriori informazioni visitare il sito </w:t>
      </w:r>
      <w:hyperlink r:id="rId12" w:history="1">
        <w:r w:rsidRPr="00DE3D66">
          <w:rPr>
            <w:rStyle w:val="Hyperlink"/>
            <w:lang w:val="it-IT"/>
          </w:rPr>
          <w:t>http://www.samtec.com</w:t>
        </w:r>
      </w:hyperlink>
    </w:p>
    <w:p w14:paraId="3DC2545A" w14:textId="0A733F18" w:rsidR="001431DB" w:rsidRPr="00774C91" w:rsidRDefault="001431DB" w:rsidP="001431DB">
      <w:pPr>
        <w:rPr>
          <w:lang w:val="it-IT"/>
        </w:rPr>
      </w:pPr>
    </w:p>
    <w:sectPr w:rsidR="001431DB" w:rsidRPr="00774C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72CC" w14:textId="77777777" w:rsidR="004B2BDA" w:rsidRDefault="004B2BDA">
      <w:pPr>
        <w:spacing w:after="0" w:line="240" w:lineRule="auto"/>
      </w:pPr>
      <w:r>
        <w:separator/>
      </w:r>
    </w:p>
  </w:endnote>
  <w:endnote w:type="continuationSeparator" w:id="0">
    <w:p w14:paraId="210E5FAF" w14:textId="77777777" w:rsidR="004B2BDA" w:rsidRDefault="004B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B9DD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B95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8E2E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1C5B" w14:textId="77777777" w:rsidR="004B2BDA" w:rsidRDefault="004B2BDA">
      <w:pPr>
        <w:spacing w:after="0" w:line="240" w:lineRule="auto"/>
      </w:pPr>
      <w:r>
        <w:separator/>
      </w:r>
    </w:p>
  </w:footnote>
  <w:footnote w:type="continuationSeparator" w:id="0">
    <w:p w14:paraId="3BA2C859" w14:textId="77777777" w:rsidR="004B2BDA" w:rsidRDefault="004B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E4FC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7459" w14:textId="77777777" w:rsidR="00017B20" w:rsidRPr="00226BF1" w:rsidRDefault="00000000" w:rsidP="00226BF1">
    <w:pPr>
      <w:pStyle w:val="Header"/>
    </w:pPr>
    <w:r>
      <w:rPr>
        <w:noProof/>
      </w:rPr>
      <w:drawing>
        <wp:inline distT="0" distB="0" distL="0" distR="0" wp14:anchorId="28FD50D8" wp14:editId="1913496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277795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09AF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FFAE4C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C8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A815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08C6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A85C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5AF0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5EEB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E6DC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8A27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220152">
    <w:abstractNumId w:val="0"/>
  </w:num>
  <w:num w:numId="2" w16cid:durableId="150886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46CF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5AD2"/>
    <w:rsid w:val="0013719A"/>
    <w:rsid w:val="001431DB"/>
    <w:rsid w:val="00163E21"/>
    <w:rsid w:val="00182C4F"/>
    <w:rsid w:val="001844EB"/>
    <w:rsid w:val="00185F0B"/>
    <w:rsid w:val="00186AFF"/>
    <w:rsid w:val="0019111A"/>
    <w:rsid w:val="00197BB9"/>
    <w:rsid w:val="001A117D"/>
    <w:rsid w:val="001A7DD1"/>
    <w:rsid w:val="001B4446"/>
    <w:rsid w:val="001C6894"/>
    <w:rsid w:val="001D1863"/>
    <w:rsid w:val="001D54C8"/>
    <w:rsid w:val="001E2A95"/>
    <w:rsid w:val="001E2F09"/>
    <w:rsid w:val="001E7FF7"/>
    <w:rsid w:val="001F1CC5"/>
    <w:rsid w:val="001F2C4D"/>
    <w:rsid w:val="002100A9"/>
    <w:rsid w:val="0021142B"/>
    <w:rsid w:val="00213162"/>
    <w:rsid w:val="00221A16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5FD6"/>
    <w:rsid w:val="00296283"/>
    <w:rsid w:val="002A439D"/>
    <w:rsid w:val="002B39BE"/>
    <w:rsid w:val="002B6C4B"/>
    <w:rsid w:val="002D614A"/>
    <w:rsid w:val="002D64D2"/>
    <w:rsid w:val="002E1BCB"/>
    <w:rsid w:val="002E4B67"/>
    <w:rsid w:val="002E627F"/>
    <w:rsid w:val="00306B52"/>
    <w:rsid w:val="003174C6"/>
    <w:rsid w:val="0032695C"/>
    <w:rsid w:val="00326AA3"/>
    <w:rsid w:val="00331639"/>
    <w:rsid w:val="00352455"/>
    <w:rsid w:val="00357A10"/>
    <w:rsid w:val="003663CE"/>
    <w:rsid w:val="00371610"/>
    <w:rsid w:val="0038515A"/>
    <w:rsid w:val="00386EFB"/>
    <w:rsid w:val="00392E8E"/>
    <w:rsid w:val="003C056D"/>
    <w:rsid w:val="003C2CC3"/>
    <w:rsid w:val="003D2DAD"/>
    <w:rsid w:val="003D301F"/>
    <w:rsid w:val="003D4818"/>
    <w:rsid w:val="003D6351"/>
    <w:rsid w:val="003E06A5"/>
    <w:rsid w:val="003E4638"/>
    <w:rsid w:val="003E465C"/>
    <w:rsid w:val="003F3674"/>
    <w:rsid w:val="003F3D11"/>
    <w:rsid w:val="00406C57"/>
    <w:rsid w:val="00411038"/>
    <w:rsid w:val="00420FBA"/>
    <w:rsid w:val="0042402A"/>
    <w:rsid w:val="00425DD1"/>
    <w:rsid w:val="00427B77"/>
    <w:rsid w:val="00434CCB"/>
    <w:rsid w:val="00440980"/>
    <w:rsid w:val="004447C3"/>
    <w:rsid w:val="0046193E"/>
    <w:rsid w:val="004727C3"/>
    <w:rsid w:val="00473D60"/>
    <w:rsid w:val="004758B5"/>
    <w:rsid w:val="00482202"/>
    <w:rsid w:val="00482A9D"/>
    <w:rsid w:val="0048392C"/>
    <w:rsid w:val="00493A7D"/>
    <w:rsid w:val="00494587"/>
    <w:rsid w:val="004A2584"/>
    <w:rsid w:val="004A4173"/>
    <w:rsid w:val="004B2BDA"/>
    <w:rsid w:val="004B5398"/>
    <w:rsid w:val="004B6E5C"/>
    <w:rsid w:val="004C6B7E"/>
    <w:rsid w:val="004C7B32"/>
    <w:rsid w:val="004E2A0D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C6358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404BA"/>
    <w:rsid w:val="00650AE2"/>
    <w:rsid w:val="006537E4"/>
    <w:rsid w:val="006548D9"/>
    <w:rsid w:val="00654DB2"/>
    <w:rsid w:val="006711F0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4731D"/>
    <w:rsid w:val="00751C0D"/>
    <w:rsid w:val="00754727"/>
    <w:rsid w:val="00755682"/>
    <w:rsid w:val="00755B3F"/>
    <w:rsid w:val="007562DC"/>
    <w:rsid w:val="007573A6"/>
    <w:rsid w:val="0076026B"/>
    <w:rsid w:val="0076358D"/>
    <w:rsid w:val="00770E8B"/>
    <w:rsid w:val="00774C91"/>
    <w:rsid w:val="00777A03"/>
    <w:rsid w:val="0078212A"/>
    <w:rsid w:val="00785AF1"/>
    <w:rsid w:val="00795E70"/>
    <w:rsid w:val="007A092E"/>
    <w:rsid w:val="007A1EF4"/>
    <w:rsid w:val="007A270E"/>
    <w:rsid w:val="007A2A1B"/>
    <w:rsid w:val="007A6570"/>
    <w:rsid w:val="007B0CCC"/>
    <w:rsid w:val="007B12BE"/>
    <w:rsid w:val="007B3161"/>
    <w:rsid w:val="007B39C7"/>
    <w:rsid w:val="007B77FC"/>
    <w:rsid w:val="007C3E44"/>
    <w:rsid w:val="007C3E50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C7D00"/>
    <w:rsid w:val="008D15FE"/>
    <w:rsid w:val="008E3B33"/>
    <w:rsid w:val="008F25BA"/>
    <w:rsid w:val="008F61BF"/>
    <w:rsid w:val="00903961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D59AD"/>
    <w:rsid w:val="009E313E"/>
    <w:rsid w:val="009E488D"/>
    <w:rsid w:val="009E6373"/>
    <w:rsid w:val="009E66A8"/>
    <w:rsid w:val="00A0250C"/>
    <w:rsid w:val="00A1193B"/>
    <w:rsid w:val="00A11C7E"/>
    <w:rsid w:val="00A1778E"/>
    <w:rsid w:val="00A2559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B24C4"/>
    <w:rsid w:val="00AB6D83"/>
    <w:rsid w:val="00AC271E"/>
    <w:rsid w:val="00AC6340"/>
    <w:rsid w:val="00AD0FE2"/>
    <w:rsid w:val="00AD154D"/>
    <w:rsid w:val="00AD2272"/>
    <w:rsid w:val="00AD4AC6"/>
    <w:rsid w:val="00AE1765"/>
    <w:rsid w:val="00AF1EC0"/>
    <w:rsid w:val="00AF206F"/>
    <w:rsid w:val="00AF38E8"/>
    <w:rsid w:val="00B01CC4"/>
    <w:rsid w:val="00B04C10"/>
    <w:rsid w:val="00B123CC"/>
    <w:rsid w:val="00B128C8"/>
    <w:rsid w:val="00B135F8"/>
    <w:rsid w:val="00B1489C"/>
    <w:rsid w:val="00B15469"/>
    <w:rsid w:val="00B1768D"/>
    <w:rsid w:val="00B21817"/>
    <w:rsid w:val="00B22A82"/>
    <w:rsid w:val="00B25405"/>
    <w:rsid w:val="00B31E3A"/>
    <w:rsid w:val="00B41965"/>
    <w:rsid w:val="00B5445E"/>
    <w:rsid w:val="00B66397"/>
    <w:rsid w:val="00B97420"/>
    <w:rsid w:val="00BA3680"/>
    <w:rsid w:val="00BA38C6"/>
    <w:rsid w:val="00BB5675"/>
    <w:rsid w:val="00BC2F47"/>
    <w:rsid w:val="00BC36F1"/>
    <w:rsid w:val="00BC782B"/>
    <w:rsid w:val="00BC7FE3"/>
    <w:rsid w:val="00BD5064"/>
    <w:rsid w:val="00BE77A0"/>
    <w:rsid w:val="00BF28EF"/>
    <w:rsid w:val="00C02000"/>
    <w:rsid w:val="00C0288E"/>
    <w:rsid w:val="00C25E6D"/>
    <w:rsid w:val="00C2722E"/>
    <w:rsid w:val="00C27552"/>
    <w:rsid w:val="00C3371B"/>
    <w:rsid w:val="00C45072"/>
    <w:rsid w:val="00C52522"/>
    <w:rsid w:val="00C6773F"/>
    <w:rsid w:val="00C6777C"/>
    <w:rsid w:val="00C87C51"/>
    <w:rsid w:val="00C91AFF"/>
    <w:rsid w:val="00C9330F"/>
    <w:rsid w:val="00C94DD8"/>
    <w:rsid w:val="00C96ABA"/>
    <w:rsid w:val="00CA188A"/>
    <w:rsid w:val="00CA68CE"/>
    <w:rsid w:val="00CB62C6"/>
    <w:rsid w:val="00CC0ADA"/>
    <w:rsid w:val="00CC41FF"/>
    <w:rsid w:val="00CC63B2"/>
    <w:rsid w:val="00CC63D4"/>
    <w:rsid w:val="00CD1001"/>
    <w:rsid w:val="00CD52D1"/>
    <w:rsid w:val="00CD5525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25216"/>
    <w:rsid w:val="00D41471"/>
    <w:rsid w:val="00D447A4"/>
    <w:rsid w:val="00D45E22"/>
    <w:rsid w:val="00D47966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87F11"/>
    <w:rsid w:val="00D904B5"/>
    <w:rsid w:val="00D95948"/>
    <w:rsid w:val="00DA1864"/>
    <w:rsid w:val="00DA3C9D"/>
    <w:rsid w:val="00DC0C56"/>
    <w:rsid w:val="00DC0DC0"/>
    <w:rsid w:val="00DC2ECC"/>
    <w:rsid w:val="00DD1EB6"/>
    <w:rsid w:val="00DE11A2"/>
    <w:rsid w:val="00DE2BBB"/>
    <w:rsid w:val="00DF7B98"/>
    <w:rsid w:val="00E027DB"/>
    <w:rsid w:val="00E07B14"/>
    <w:rsid w:val="00E10BEA"/>
    <w:rsid w:val="00E157A4"/>
    <w:rsid w:val="00E25914"/>
    <w:rsid w:val="00E30D95"/>
    <w:rsid w:val="00E35DE1"/>
    <w:rsid w:val="00E500CE"/>
    <w:rsid w:val="00E50BB3"/>
    <w:rsid w:val="00E51396"/>
    <w:rsid w:val="00E605B6"/>
    <w:rsid w:val="00E617A3"/>
    <w:rsid w:val="00E629D5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3825"/>
    <w:rsid w:val="00EB4522"/>
    <w:rsid w:val="00EB4F04"/>
    <w:rsid w:val="00EC351D"/>
    <w:rsid w:val="00EC5E3A"/>
    <w:rsid w:val="00ED328D"/>
    <w:rsid w:val="00ED3632"/>
    <w:rsid w:val="00EE06C2"/>
    <w:rsid w:val="00EE4871"/>
    <w:rsid w:val="00EF00A1"/>
    <w:rsid w:val="00EF7856"/>
    <w:rsid w:val="00F00C07"/>
    <w:rsid w:val="00F01903"/>
    <w:rsid w:val="00F07DF5"/>
    <w:rsid w:val="00F1527E"/>
    <w:rsid w:val="00F23CEB"/>
    <w:rsid w:val="00F25456"/>
    <w:rsid w:val="00F258AD"/>
    <w:rsid w:val="00F34A2D"/>
    <w:rsid w:val="00F35801"/>
    <w:rsid w:val="00F36059"/>
    <w:rsid w:val="00F37019"/>
    <w:rsid w:val="00F401A3"/>
    <w:rsid w:val="00F429E1"/>
    <w:rsid w:val="00F62C91"/>
    <w:rsid w:val="00F72685"/>
    <w:rsid w:val="00F85113"/>
    <w:rsid w:val="00F90201"/>
    <w:rsid w:val="00F95737"/>
    <w:rsid w:val="00FA4247"/>
    <w:rsid w:val="00FB24D9"/>
    <w:rsid w:val="00FB34B3"/>
    <w:rsid w:val="00FB5451"/>
    <w:rsid w:val="00FB78DD"/>
    <w:rsid w:val="00FC1330"/>
    <w:rsid w:val="00FC2D07"/>
    <w:rsid w:val="00FC4CC5"/>
    <w:rsid w:val="00FC7787"/>
    <w:rsid w:val="00FE3F02"/>
    <w:rsid w:val="00FF3BE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66BDA43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tec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tec.com/rf/original/bulls-ey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mtec.com/rf/original/bulls-ey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mtec.com/products/be71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Love</dc:creator>
  <cp:lastModifiedBy>Gwenfair Rousselot-Jones</cp:lastModifiedBy>
  <cp:revision>2</cp:revision>
  <dcterms:created xsi:type="dcterms:W3CDTF">2026-04-01T19:39:00Z</dcterms:created>
  <dcterms:modified xsi:type="dcterms:W3CDTF">2026-04-01T19:39:00Z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