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46D2DCD5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Un gros plan d'un pann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bCs/>
        </w:rPr>
        <w:t>POUR DIFFUSION IMMÉDIATE</w:t>
      </w:r>
    </w:p>
    <w:p w14:paraId="66E993D3" w14:textId="0EE6690C" w:rsidR="00B156F3" w:rsidRDefault="00B0192C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68D38509">
        <w:rPr>
          <w:b/>
          <w:bCs/>
        </w:rPr>
        <w:t>Mai 2026</w:t>
      </w:r>
      <w:r>
        <w:tab/>
      </w:r>
      <w: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bCs/>
        </w:rPr>
        <w:t xml:space="preserve">CONTACT :  </w:t>
      </w:r>
      <w:hyperlink r:id="rId5" w:history="1">
        <w:r w:rsidRPr="00892566">
          <w:rPr>
            <w:rStyle w:val="Hyperlink"/>
            <w:rFonts w:cs="Times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1A680DCD" w14:textId="40FCF5FC" w:rsidR="0039749C" w:rsidRPr="00F34258" w:rsidRDefault="009D39B7" w:rsidP="0039749C">
      <w:pPr>
        <w:spacing w:after="0"/>
        <w:jc w:val="center"/>
        <w:rPr>
          <w:b/>
          <w:bCs/>
          <w:sz w:val="28"/>
          <w:szCs w:val="28"/>
          <w:lang w:val="fr-FR"/>
        </w:rPr>
      </w:pPr>
      <w:proofErr w:type="spellStart"/>
      <w:r w:rsidRPr="00F34258">
        <w:rPr>
          <w:b/>
          <w:bCs/>
          <w:sz w:val="28"/>
          <w:szCs w:val="28"/>
          <w:lang w:val="fr-FR"/>
        </w:rPr>
        <w:t>Samtec</w:t>
      </w:r>
      <w:proofErr w:type="spellEnd"/>
      <w:r w:rsidRPr="00F34258">
        <w:rPr>
          <w:b/>
          <w:bCs/>
          <w:sz w:val="28"/>
          <w:szCs w:val="28"/>
          <w:lang w:val="fr-FR"/>
        </w:rPr>
        <w:t xml:space="preserve"> lance </w:t>
      </w:r>
      <w:r w:rsidR="007A0D04" w:rsidRPr="00F34258">
        <w:rPr>
          <w:b/>
          <w:bCs/>
          <w:sz w:val="28"/>
          <w:szCs w:val="28"/>
          <w:lang w:val="fr-FR"/>
        </w:rPr>
        <w:t>l</w:t>
      </w:r>
      <w:r w:rsidRPr="00F34258">
        <w:rPr>
          <w:b/>
          <w:bCs/>
          <w:sz w:val="28"/>
          <w:szCs w:val="28"/>
          <w:lang w:val="fr-FR"/>
        </w:rPr>
        <w:t xml:space="preserve">es connecteurs Ultra Micro </w:t>
      </w:r>
      <w:proofErr w:type="spellStart"/>
      <w:r w:rsidRPr="00F34258">
        <w:rPr>
          <w:b/>
          <w:bCs/>
          <w:sz w:val="28"/>
          <w:szCs w:val="28"/>
          <w:lang w:val="fr-FR"/>
        </w:rPr>
        <w:t>mPOWER</w:t>
      </w:r>
      <w:proofErr w:type="spellEnd"/>
      <w:r w:rsidRPr="00F34258">
        <w:rPr>
          <w:b/>
          <w:bCs/>
          <w:sz w:val="28"/>
          <w:szCs w:val="28"/>
          <w:lang w:val="fr-FR"/>
        </w:rPr>
        <w:t xml:space="preserve">® avec </w:t>
      </w:r>
    </w:p>
    <w:p w14:paraId="4FDC5734" w14:textId="4EDAFB98" w:rsidR="009D39B7" w:rsidRPr="00F34258" w:rsidRDefault="007A0D04" w:rsidP="0039749C">
      <w:pPr>
        <w:spacing w:after="20"/>
        <w:jc w:val="center"/>
        <w:rPr>
          <w:b/>
          <w:bCs/>
          <w:sz w:val="28"/>
          <w:szCs w:val="28"/>
          <w:lang w:val="fr-FR"/>
        </w:rPr>
      </w:pPr>
      <w:proofErr w:type="gramStart"/>
      <w:r w:rsidRPr="00F34258">
        <w:rPr>
          <w:b/>
          <w:bCs/>
          <w:sz w:val="28"/>
          <w:szCs w:val="28"/>
          <w:lang w:val="fr-FR"/>
        </w:rPr>
        <w:t>t</w:t>
      </w:r>
      <w:r w:rsidR="0039749C" w:rsidRPr="00F34258">
        <w:rPr>
          <w:b/>
          <w:bCs/>
          <w:sz w:val="28"/>
          <w:szCs w:val="28"/>
          <w:lang w:val="fr-FR"/>
        </w:rPr>
        <w:t>erminaison</w:t>
      </w:r>
      <w:r w:rsidR="00E705C4">
        <w:rPr>
          <w:b/>
          <w:bCs/>
          <w:sz w:val="28"/>
          <w:szCs w:val="28"/>
          <w:lang w:val="fr-FR"/>
        </w:rPr>
        <w:t>s</w:t>
      </w:r>
      <w:proofErr w:type="gramEnd"/>
      <w:r w:rsidR="0039749C" w:rsidRPr="00F34258">
        <w:rPr>
          <w:b/>
          <w:bCs/>
          <w:sz w:val="28"/>
          <w:szCs w:val="28"/>
          <w:lang w:val="fr-FR"/>
        </w:rPr>
        <w:t xml:space="preserve"> PCB</w:t>
      </w:r>
      <w:r w:rsidRPr="00F34258">
        <w:rPr>
          <w:b/>
          <w:bCs/>
          <w:sz w:val="28"/>
          <w:szCs w:val="28"/>
          <w:lang w:val="fr-FR"/>
        </w:rPr>
        <w:t xml:space="preserve"> </w:t>
      </w:r>
      <w:r w:rsidRPr="00F34258">
        <w:rPr>
          <w:b/>
          <w:bCs/>
          <w:sz w:val="28"/>
          <w:szCs w:val="28"/>
          <w:lang w:val="fr-FR"/>
        </w:rPr>
        <w:t>traversant</w:t>
      </w:r>
      <w:r w:rsidRPr="00F34258">
        <w:rPr>
          <w:b/>
          <w:bCs/>
          <w:sz w:val="28"/>
          <w:szCs w:val="28"/>
          <w:lang w:val="fr-FR"/>
        </w:rPr>
        <w:t>e</w:t>
      </w:r>
      <w:r w:rsidR="004E234D" w:rsidRPr="00F34258">
        <w:rPr>
          <w:b/>
          <w:bCs/>
          <w:sz w:val="28"/>
          <w:szCs w:val="28"/>
          <w:lang w:val="fr-FR"/>
        </w:rPr>
        <w:t>s</w:t>
      </w:r>
    </w:p>
    <w:p w14:paraId="5BEC4FF8" w14:textId="70DC68AF" w:rsidR="008D1EE4" w:rsidRPr="00F34258" w:rsidRDefault="008D1EE4" w:rsidP="0039749C">
      <w:pPr>
        <w:spacing w:after="0"/>
        <w:jc w:val="center"/>
        <w:rPr>
          <w:i/>
          <w:iCs/>
          <w:sz w:val="22"/>
          <w:szCs w:val="22"/>
          <w:lang w:val="fr-FR"/>
        </w:rPr>
      </w:pPr>
      <w:r w:rsidRPr="00F34258">
        <w:rPr>
          <w:i/>
          <w:iCs/>
          <w:sz w:val="22"/>
          <w:szCs w:val="22"/>
          <w:lang w:val="fr-FR"/>
        </w:rPr>
        <w:t xml:space="preserve">Le système de connecteur ultra micro </w:t>
      </w:r>
      <w:proofErr w:type="spellStart"/>
      <w:r w:rsidRPr="00F34258">
        <w:rPr>
          <w:i/>
          <w:iCs/>
          <w:sz w:val="22"/>
          <w:szCs w:val="22"/>
          <w:lang w:val="fr-FR"/>
        </w:rPr>
        <w:t>mPOWER</w:t>
      </w:r>
      <w:proofErr w:type="spellEnd"/>
      <w:r w:rsidRPr="00F3425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F34258">
        <w:rPr>
          <w:i/>
          <w:iCs/>
          <w:sz w:val="22"/>
          <w:szCs w:val="22"/>
          <w:lang w:val="fr-FR"/>
        </w:rPr>
        <w:t>Samtec</w:t>
      </w:r>
      <w:proofErr w:type="spellEnd"/>
      <w:r w:rsidRPr="00F34258">
        <w:rPr>
          <w:i/>
          <w:iCs/>
          <w:sz w:val="22"/>
          <w:szCs w:val="22"/>
          <w:lang w:val="fr-FR"/>
        </w:rPr>
        <w:t xml:space="preserve"> est désormais disponible avec des options de terminaison</w:t>
      </w:r>
      <w:r w:rsidR="004E234D" w:rsidRPr="00F34258">
        <w:rPr>
          <w:i/>
          <w:iCs/>
          <w:sz w:val="22"/>
          <w:szCs w:val="22"/>
          <w:lang w:val="fr-FR"/>
        </w:rPr>
        <w:t>s</w:t>
      </w:r>
      <w:r w:rsidRPr="00F34258">
        <w:rPr>
          <w:i/>
          <w:iCs/>
          <w:sz w:val="22"/>
          <w:szCs w:val="22"/>
          <w:lang w:val="fr-FR"/>
        </w:rPr>
        <w:t xml:space="preserve"> </w:t>
      </w:r>
      <w:r w:rsidR="007A0D04" w:rsidRPr="00F34258">
        <w:rPr>
          <w:i/>
          <w:iCs/>
          <w:sz w:val="22"/>
          <w:szCs w:val="22"/>
          <w:lang w:val="fr-FR"/>
        </w:rPr>
        <w:t>traversante</w:t>
      </w:r>
      <w:r w:rsidR="004E234D" w:rsidRPr="00F34258">
        <w:rPr>
          <w:i/>
          <w:iCs/>
          <w:sz w:val="22"/>
          <w:szCs w:val="22"/>
          <w:lang w:val="fr-FR"/>
        </w:rPr>
        <w:t>s</w:t>
      </w:r>
      <w:r w:rsidR="007A0D04" w:rsidRPr="00F34258">
        <w:rPr>
          <w:i/>
          <w:iCs/>
          <w:sz w:val="22"/>
          <w:szCs w:val="22"/>
          <w:lang w:val="fr-FR"/>
        </w:rPr>
        <w:t xml:space="preserve"> </w:t>
      </w:r>
      <w:r w:rsidRPr="00F34258">
        <w:rPr>
          <w:i/>
          <w:iCs/>
          <w:sz w:val="22"/>
          <w:szCs w:val="22"/>
          <w:lang w:val="fr-FR"/>
        </w:rPr>
        <w:t xml:space="preserve">pour une résistance mécanique et </w:t>
      </w:r>
      <w:proofErr w:type="gramStart"/>
      <w:r w:rsidRPr="00F34258">
        <w:rPr>
          <w:i/>
          <w:iCs/>
          <w:sz w:val="22"/>
          <w:szCs w:val="22"/>
          <w:lang w:val="fr-FR"/>
        </w:rPr>
        <w:t>une fiabilité accrues</w:t>
      </w:r>
      <w:proofErr w:type="gramEnd"/>
      <w:r w:rsidRPr="00F34258">
        <w:rPr>
          <w:i/>
          <w:iCs/>
          <w:sz w:val="22"/>
          <w:szCs w:val="22"/>
          <w:lang w:val="fr-FR"/>
        </w:rPr>
        <w:t xml:space="preserve"> dans les applications industrielles, militaires et aérospatiales. </w:t>
      </w:r>
    </w:p>
    <w:p w14:paraId="4D176F4C" w14:textId="77777777" w:rsidR="009E495E" w:rsidRPr="00F34258" w:rsidRDefault="009E495E" w:rsidP="0039749C">
      <w:pPr>
        <w:spacing w:after="20"/>
        <w:rPr>
          <w:sz w:val="22"/>
          <w:szCs w:val="22"/>
          <w:lang w:val="fr-FR"/>
        </w:rPr>
      </w:pPr>
    </w:p>
    <w:p w14:paraId="42DB59E0" w14:textId="4CA9BC8E" w:rsidR="00B76CB1" w:rsidRPr="00F34258" w:rsidRDefault="00B3721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  <w:r w:rsidRPr="00F34258">
        <w:rPr>
          <w:rStyle w:val="normaltextrun"/>
          <w:rFonts w:cs="Calibri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New Albany, IN : </w:t>
      </w:r>
      <w:proofErr w:type="spellStart"/>
      <w:r w:rsidRPr="00F34258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fr-FR"/>
        </w:rPr>
        <w:t>Samtec</w:t>
      </w:r>
      <w:proofErr w:type="spellEnd"/>
      <w:r w:rsidRPr="00F34258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fr-FR"/>
        </w:rPr>
        <w:t xml:space="preserve">, Inc., leader du </w:t>
      </w:r>
      <w:r w:rsidR="007A0D04" w:rsidRPr="00F34258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fr-FR"/>
        </w:rPr>
        <w:t>service dans l</w:t>
      </w:r>
      <w:r w:rsidR="004E234D" w:rsidRPr="00F34258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fr-FR"/>
        </w:rPr>
        <w:t>’industrie</w:t>
      </w:r>
      <w:r w:rsidRPr="00F34258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fr-FR"/>
        </w:rPr>
        <w:t xml:space="preserve"> des connecteurs, annonce </w:t>
      </w:r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l'ex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tension </w:t>
      </w:r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de son système d'interconnexion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de puissance ultra </w:t>
      </w:r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micro </w:t>
      </w:r>
      <w:proofErr w:type="spellStart"/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mPOWER</w:t>
      </w:r>
      <w:proofErr w:type="spellEnd"/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. Les connecteurs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de carte </w:t>
      </w:r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verticaux </w:t>
      </w:r>
      <w:proofErr w:type="spellStart"/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mPOWER</w:t>
      </w:r>
      <w:proofErr w:type="spellEnd"/>
      <w:r w:rsidR="003D5E40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(</w:t>
      </w:r>
      <w:hyperlink r:id="rId6" w:history="1">
        <w:r w:rsidR="00C959D3" w:rsidRPr="00F34258">
          <w:rPr>
            <w:rStyle w:val="Hyperlink"/>
            <w:color w:val="auto"/>
            <w:sz w:val="22"/>
            <w:szCs w:val="22"/>
            <w:shd w:val="clear" w:color="auto" w:fill="FFFFFF"/>
            <w:lang w:val="fr-FR"/>
          </w:rPr>
          <w:t>UMPS</w:t>
        </w:r>
      </w:hyperlink>
      <w:r w:rsidR="00C959D3" w:rsidRPr="00F34258">
        <w:rPr>
          <w:sz w:val="22"/>
          <w:szCs w:val="22"/>
          <w:shd w:val="clear" w:color="auto" w:fill="FFFFFF"/>
          <w:lang w:val="fr-FR"/>
        </w:rPr>
        <w:t xml:space="preserve">, </w:t>
      </w:r>
      <w:hyperlink r:id="rId7" w:history="1">
        <w:r w:rsidR="00C959D3" w:rsidRPr="00F34258">
          <w:rPr>
            <w:rStyle w:val="Hyperlink"/>
            <w:color w:val="auto"/>
            <w:sz w:val="22"/>
            <w:szCs w:val="22"/>
            <w:shd w:val="clear" w:color="auto" w:fill="FFFFFF"/>
            <w:lang w:val="fr-FR"/>
          </w:rPr>
          <w:t>UMPT</w:t>
        </w:r>
      </w:hyperlink>
      <w:r w:rsidR="00C959D3" w:rsidRPr="00F34258">
        <w:rPr>
          <w:sz w:val="22"/>
          <w:szCs w:val="22"/>
          <w:shd w:val="clear" w:color="auto" w:fill="FFFFFF"/>
          <w:lang w:val="fr-FR"/>
        </w:rPr>
        <w:t xml:space="preserve">) 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et les connecteurs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de carte 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à angle droit (</w:t>
      </w:r>
      <w:hyperlink r:id="rId8" w:history="1">
        <w:r w:rsidR="00C959D3" w:rsidRPr="00F34258">
          <w:rPr>
            <w:rStyle w:val="Hyperlink"/>
            <w:color w:val="auto"/>
            <w:sz w:val="22"/>
            <w:szCs w:val="22"/>
            <w:shd w:val="clear" w:color="auto" w:fill="FFFFFF"/>
            <w:lang w:val="fr-FR"/>
          </w:rPr>
          <w:t>UMPT-RA</w:t>
        </w:r>
      </w:hyperlink>
      <w:r w:rsidR="00C959D3" w:rsidRPr="00F34258">
        <w:rPr>
          <w:sz w:val="22"/>
          <w:szCs w:val="22"/>
          <w:lang w:val="fr-FR"/>
        </w:rPr>
        <w:t>)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sont désormais disponibles avec des options de terminaison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s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traversante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s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, offrant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une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robustesse mécanique renforcée </w:t>
      </w:r>
      <w:r w:rsidR="00E705C4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qui est 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souvent requise </w:t>
      </w:r>
      <w:r w:rsidR="007A0D04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dans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</w:t>
      </w:r>
      <w:r w:rsidR="007A0D04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l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es applications industrielles, militaires et aérospatiales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exigeantes</w:t>
      </w:r>
      <w:r w:rsidR="00C959D3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. Des conceptions de connecteurs utilisant la technologie de montage en surface sont également disponibles. </w:t>
      </w:r>
    </w:p>
    <w:p w14:paraId="5513AB69" w14:textId="77777777" w:rsidR="00C51A73" w:rsidRPr="00F34258" w:rsidRDefault="00C51A7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</w:p>
    <w:p w14:paraId="1A518E7D" w14:textId="794B2378" w:rsidR="00C51A73" w:rsidRPr="00F34258" w:rsidRDefault="00C51A73" w:rsidP="00C51A73">
      <w:pPr>
        <w:spacing w:after="0"/>
        <w:jc w:val="center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  <w:r w:rsidRPr="00F34258">
        <w:rPr>
          <w:rFonts w:cs="Calibri"/>
          <w:noProof/>
          <w:sz w:val="22"/>
          <w:szCs w:val="22"/>
          <w:shd w:val="clear" w:color="auto" w:fill="FFFFFF"/>
          <w:lang w:val="fr-FR"/>
        </w:rPr>
        <w:drawing>
          <wp:inline distT="0" distB="0" distL="0" distR="0" wp14:anchorId="529CBE7C" wp14:editId="79B077FF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21790" name="Picture 68832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D63F" w14:textId="77777777" w:rsidR="00AF4094" w:rsidRPr="00F34258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</w:p>
    <w:p w14:paraId="45D24DE0" w14:textId="26B37A04" w:rsidR="00AF4094" w:rsidRPr="00F34258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Conçus pour </w:t>
      </w:r>
      <w:r w:rsidR="007A0D04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une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meilleure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densité de puissance, les connecteurs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ul</w:t>
      </w:r>
      <w:r w:rsidR="00EB6F85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t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ra micro </w:t>
      </w:r>
      <w:proofErr w:type="spellStart"/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mPOWER</w:t>
      </w:r>
      <w:proofErr w:type="spellEnd"/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offrent un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gain de place 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40 % par rapport aux connecteurs d</w:t>
      </w:r>
      <w:r w:rsidR="007A0D04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e puissance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conventionnels. Leur format compact supporte jusqu'à 18 A par lame de puissance, permettant des performances fiables à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courant élevé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sans sacrifier </w:t>
      </w:r>
      <w:r w:rsidR="004E234D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l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'espace </w:t>
      </w:r>
      <w:r w:rsidR="00E36286"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>sur la</w:t>
      </w:r>
      <w:r w:rsidRPr="00F34258"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  <w:t xml:space="preserve"> carte. </w:t>
      </w:r>
    </w:p>
    <w:p w14:paraId="22866476" w14:textId="77777777" w:rsidR="00AF4094" w:rsidRPr="00F34258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val="fr-FR"/>
        </w:rPr>
      </w:pPr>
    </w:p>
    <w:p w14:paraId="466558E5" w14:textId="2A6FD8D9" w:rsidR="00A72971" w:rsidRPr="00F34258" w:rsidRDefault="00A72971" w:rsidP="00A72971">
      <w:pPr>
        <w:rPr>
          <w:sz w:val="22"/>
          <w:szCs w:val="22"/>
          <w:lang w:val="fr-FR"/>
        </w:rPr>
      </w:pPr>
      <w:r w:rsidRPr="00F34258">
        <w:rPr>
          <w:sz w:val="22"/>
          <w:szCs w:val="22"/>
          <w:lang w:val="fr-FR"/>
        </w:rPr>
        <w:t>En plus de l</w:t>
      </w:r>
      <w:r w:rsidR="00E705C4">
        <w:rPr>
          <w:sz w:val="22"/>
          <w:szCs w:val="22"/>
          <w:lang w:val="fr-FR"/>
        </w:rPr>
        <w:t>eur</w:t>
      </w:r>
      <w:r w:rsidRPr="00F34258">
        <w:rPr>
          <w:sz w:val="22"/>
          <w:szCs w:val="22"/>
          <w:lang w:val="fr-FR"/>
        </w:rPr>
        <w:t xml:space="preserve"> densité de puissance</w:t>
      </w:r>
      <w:r w:rsidR="00E705C4">
        <w:rPr>
          <w:sz w:val="22"/>
          <w:szCs w:val="22"/>
          <w:lang w:val="fr-FR"/>
        </w:rPr>
        <w:t xml:space="preserve"> élevée</w:t>
      </w:r>
      <w:r w:rsidRPr="00F34258">
        <w:rPr>
          <w:sz w:val="22"/>
          <w:szCs w:val="22"/>
          <w:lang w:val="fr-FR"/>
        </w:rPr>
        <w:t xml:space="preserve">, les interconnexions </w:t>
      </w:r>
      <w:proofErr w:type="spellStart"/>
      <w:r w:rsidRPr="00F34258">
        <w:rPr>
          <w:sz w:val="22"/>
          <w:szCs w:val="22"/>
          <w:lang w:val="fr-FR"/>
        </w:rPr>
        <w:t>mPOWER</w:t>
      </w:r>
      <w:proofErr w:type="spellEnd"/>
      <w:r w:rsidRPr="00F34258">
        <w:rPr>
          <w:sz w:val="22"/>
          <w:szCs w:val="22"/>
          <w:lang w:val="fr-FR"/>
        </w:rPr>
        <w:t xml:space="preserve"> offrent une </w:t>
      </w:r>
      <w:r w:rsidR="00E36286" w:rsidRPr="00F34258">
        <w:rPr>
          <w:sz w:val="22"/>
          <w:szCs w:val="22"/>
          <w:lang w:val="fr-FR"/>
        </w:rPr>
        <w:t xml:space="preserve">grande </w:t>
      </w:r>
      <w:r w:rsidRPr="00F34258">
        <w:rPr>
          <w:sz w:val="22"/>
          <w:szCs w:val="22"/>
          <w:lang w:val="fr-FR"/>
        </w:rPr>
        <w:t xml:space="preserve">flexibilité de conception </w:t>
      </w:r>
      <w:r w:rsidR="004E234D" w:rsidRPr="00F34258">
        <w:rPr>
          <w:sz w:val="22"/>
          <w:szCs w:val="22"/>
          <w:lang w:val="fr-FR"/>
        </w:rPr>
        <w:t>pour</w:t>
      </w:r>
      <w:r w:rsidR="00E36286" w:rsidRPr="00F34258">
        <w:rPr>
          <w:sz w:val="22"/>
          <w:szCs w:val="22"/>
          <w:lang w:val="fr-FR"/>
        </w:rPr>
        <w:t xml:space="preserve"> </w:t>
      </w:r>
      <w:r w:rsidR="004E234D" w:rsidRPr="00F34258">
        <w:rPr>
          <w:sz w:val="22"/>
          <w:szCs w:val="22"/>
          <w:lang w:val="fr-FR"/>
        </w:rPr>
        <w:t>l</w:t>
      </w:r>
      <w:r w:rsidRPr="00F34258">
        <w:rPr>
          <w:sz w:val="22"/>
          <w:szCs w:val="22"/>
          <w:lang w:val="fr-FR"/>
        </w:rPr>
        <w:t>es applications carte à carte, fil à carte et fil à fil. La conception d</w:t>
      </w:r>
      <w:r w:rsidR="00E36286" w:rsidRPr="00F34258">
        <w:rPr>
          <w:sz w:val="22"/>
          <w:szCs w:val="22"/>
          <w:lang w:val="fr-FR"/>
        </w:rPr>
        <w:t>e</w:t>
      </w:r>
      <w:r w:rsidR="004E234D" w:rsidRPr="00F34258">
        <w:rPr>
          <w:sz w:val="22"/>
          <w:szCs w:val="22"/>
          <w:lang w:val="fr-FR"/>
        </w:rPr>
        <w:t>s</w:t>
      </w:r>
      <w:r w:rsidRPr="00F34258">
        <w:rPr>
          <w:sz w:val="22"/>
          <w:szCs w:val="22"/>
          <w:lang w:val="fr-FR"/>
        </w:rPr>
        <w:t xml:space="preserve"> système</w:t>
      </w:r>
      <w:r w:rsidR="004E234D" w:rsidRPr="00F34258">
        <w:rPr>
          <w:sz w:val="22"/>
          <w:szCs w:val="22"/>
          <w:lang w:val="fr-FR"/>
        </w:rPr>
        <w:t>s</w:t>
      </w:r>
      <w:r w:rsidRPr="00F34258">
        <w:rPr>
          <w:sz w:val="22"/>
          <w:szCs w:val="22"/>
          <w:lang w:val="fr-FR"/>
        </w:rPr>
        <w:t xml:space="preserve"> est simplifiée grâce à une gamme d'options, incluant des configurations verticales et à </w:t>
      </w:r>
      <w:r w:rsidRPr="00F34258">
        <w:rPr>
          <w:sz w:val="22"/>
          <w:szCs w:val="22"/>
          <w:lang w:val="fr-FR"/>
        </w:rPr>
        <w:lastRenderedPageBreak/>
        <w:t xml:space="preserve">angle droit, des hauteurs de 5 mm à 20 mm, des </w:t>
      </w:r>
      <w:r w:rsidR="004E234D" w:rsidRPr="00F34258">
        <w:rPr>
          <w:sz w:val="22"/>
          <w:szCs w:val="22"/>
          <w:lang w:val="fr-FR"/>
        </w:rPr>
        <w:t>fonctions</w:t>
      </w:r>
      <w:r w:rsidRPr="00F34258">
        <w:rPr>
          <w:sz w:val="22"/>
          <w:szCs w:val="22"/>
          <w:lang w:val="fr-FR"/>
        </w:rPr>
        <w:t xml:space="preserve"> de verrouillage robustes, et de 2 à 10</w:t>
      </w:r>
      <w:r w:rsidR="00E36286" w:rsidRPr="00F34258">
        <w:rPr>
          <w:sz w:val="22"/>
          <w:szCs w:val="22"/>
          <w:lang w:val="fr-FR"/>
        </w:rPr>
        <w:t xml:space="preserve"> </w:t>
      </w:r>
      <w:r w:rsidR="00E36286" w:rsidRPr="00F34258">
        <w:rPr>
          <w:sz w:val="22"/>
          <w:szCs w:val="22"/>
          <w:lang w:val="fr-FR"/>
        </w:rPr>
        <w:t>positions de puissance</w:t>
      </w:r>
      <w:r w:rsidRPr="00F34258">
        <w:rPr>
          <w:sz w:val="22"/>
          <w:szCs w:val="22"/>
          <w:lang w:val="fr-FR"/>
        </w:rPr>
        <w:t xml:space="preserve">. Des </w:t>
      </w:r>
      <w:r w:rsidR="00E36286" w:rsidRPr="00F34258">
        <w:rPr>
          <w:sz w:val="22"/>
          <w:szCs w:val="22"/>
          <w:lang w:val="fr-FR"/>
        </w:rPr>
        <w:t>assembl</w:t>
      </w:r>
      <w:r w:rsidR="004E234D" w:rsidRPr="00F34258">
        <w:rPr>
          <w:sz w:val="22"/>
          <w:szCs w:val="22"/>
          <w:lang w:val="fr-FR"/>
        </w:rPr>
        <w:t>a</w:t>
      </w:r>
      <w:r w:rsidR="00E36286" w:rsidRPr="00F34258">
        <w:rPr>
          <w:sz w:val="22"/>
          <w:szCs w:val="22"/>
          <w:lang w:val="fr-FR"/>
        </w:rPr>
        <w:t>ges</w:t>
      </w:r>
      <w:r w:rsidRPr="00F34258">
        <w:rPr>
          <w:sz w:val="22"/>
          <w:szCs w:val="22"/>
          <w:lang w:val="fr-FR"/>
        </w:rPr>
        <w:t xml:space="preserve"> de câbles en PVC ou en</w:t>
      </w:r>
      <w:r w:rsidR="004E234D" w:rsidRPr="00F34258">
        <w:rPr>
          <w:sz w:val="22"/>
          <w:szCs w:val="22"/>
          <w:lang w:val="fr-FR"/>
        </w:rPr>
        <w:t xml:space="preserve"> </w:t>
      </w:r>
      <w:proofErr w:type="spellStart"/>
      <w:r w:rsidR="004E234D" w:rsidRPr="00F34258">
        <w:rPr>
          <w:sz w:val="22"/>
          <w:szCs w:val="22"/>
          <w:lang w:val="fr-FR"/>
        </w:rPr>
        <w:t>fluoropolymère</w:t>
      </w:r>
      <w:proofErr w:type="spellEnd"/>
      <w:r w:rsidR="00EB6F85">
        <w:rPr>
          <w:sz w:val="22"/>
          <w:szCs w:val="22"/>
          <w:lang w:val="fr-FR"/>
        </w:rPr>
        <w:t xml:space="preserve"> </w:t>
      </w:r>
      <w:r w:rsidR="004E234D" w:rsidRPr="00F34258">
        <w:rPr>
          <w:sz w:val="22"/>
          <w:szCs w:val="22"/>
          <w:lang w:val="fr-FR"/>
        </w:rPr>
        <w:t>T</w:t>
      </w:r>
      <w:r w:rsidR="00E36286" w:rsidRPr="00F34258">
        <w:rPr>
          <w:sz w:val="22"/>
          <w:szCs w:val="22"/>
          <w:lang w:val="fr-FR"/>
        </w:rPr>
        <w:t>éflon®</w:t>
      </w:r>
      <w:r w:rsidRPr="00F34258">
        <w:rPr>
          <w:sz w:val="22"/>
          <w:szCs w:val="22"/>
          <w:lang w:val="fr-FR"/>
        </w:rPr>
        <w:t xml:space="preserve"> sont disponibles </w:t>
      </w:r>
      <w:r w:rsidR="004E234D" w:rsidRPr="00F34258">
        <w:rPr>
          <w:sz w:val="22"/>
          <w:szCs w:val="22"/>
          <w:lang w:val="fr-FR"/>
        </w:rPr>
        <w:t>en plusieurs sections</w:t>
      </w:r>
      <w:r w:rsidRPr="00F34258">
        <w:rPr>
          <w:sz w:val="22"/>
          <w:szCs w:val="22"/>
          <w:lang w:val="fr-FR"/>
        </w:rPr>
        <w:t xml:space="preserve"> de fil pour répondre </w:t>
      </w:r>
      <w:r w:rsidR="00E36286" w:rsidRPr="00F34258">
        <w:rPr>
          <w:sz w:val="22"/>
          <w:szCs w:val="22"/>
          <w:lang w:val="fr-FR"/>
        </w:rPr>
        <w:t>aux</w:t>
      </w:r>
      <w:r w:rsidR="00E705C4">
        <w:rPr>
          <w:sz w:val="22"/>
          <w:szCs w:val="22"/>
          <w:lang w:val="fr-FR"/>
        </w:rPr>
        <w:t xml:space="preserve"> </w:t>
      </w:r>
      <w:r w:rsidR="00E36286" w:rsidRPr="00F34258">
        <w:rPr>
          <w:sz w:val="22"/>
          <w:szCs w:val="22"/>
          <w:lang w:val="fr-FR"/>
        </w:rPr>
        <w:t>besoins de</w:t>
      </w:r>
      <w:r w:rsidR="00E705C4">
        <w:rPr>
          <w:sz w:val="22"/>
          <w:szCs w:val="22"/>
          <w:lang w:val="fr-FR"/>
        </w:rPr>
        <w:t xml:space="preserve"> chaque</w:t>
      </w:r>
      <w:r w:rsidR="00E36286" w:rsidRPr="00F34258">
        <w:rPr>
          <w:sz w:val="22"/>
          <w:szCs w:val="22"/>
          <w:lang w:val="fr-FR"/>
        </w:rPr>
        <w:t xml:space="preserve"> </w:t>
      </w:r>
      <w:r w:rsidRPr="00F34258">
        <w:rPr>
          <w:sz w:val="22"/>
          <w:szCs w:val="22"/>
          <w:lang w:val="fr-FR"/>
        </w:rPr>
        <w:t>application.</w:t>
      </w:r>
    </w:p>
    <w:p w14:paraId="3A1A86DC" w14:textId="1837A309" w:rsidR="00935CBF" w:rsidRPr="00F34258" w:rsidRDefault="0852B131" w:rsidP="00A72971">
      <w:pPr>
        <w:rPr>
          <w:sz w:val="22"/>
          <w:szCs w:val="22"/>
          <w:lang w:val="fr-FR"/>
        </w:rPr>
      </w:pPr>
      <w:r w:rsidRPr="00F34258">
        <w:rPr>
          <w:sz w:val="22"/>
          <w:szCs w:val="22"/>
          <w:lang w:val="fr-FR"/>
        </w:rPr>
        <w:t xml:space="preserve">Pour simplifier le processus de conception, les connecteurs </w:t>
      </w:r>
      <w:proofErr w:type="spellStart"/>
      <w:r w:rsidRPr="00F34258">
        <w:rPr>
          <w:sz w:val="22"/>
          <w:szCs w:val="22"/>
          <w:lang w:val="fr-FR"/>
        </w:rPr>
        <w:t>mPOWER</w:t>
      </w:r>
      <w:proofErr w:type="spellEnd"/>
      <w:r w:rsidRPr="00F34258">
        <w:rPr>
          <w:sz w:val="22"/>
          <w:szCs w:val="22"/>
          <w:lang w:val="fr-FR"/>
        </w:rPr>
        <w:t xml:space="preserve"> de </w:t>
      </w:r>
      <w:proofErr w:type="spellStart"/>
      <w:r w:rsidRPr="00F34258">
        <w:rPr>
          <w:sz w:val="22"/>
          <w:szCs w:val="22"/>
          <w:lang w:val="fr-FR"/>
        </w:rPr>
        <w:t>Samtec</w:t>
      </w:r>
      <w:proofErr w:type="spellEnd"/>
      <w:r w:rsidRPr="00F34258">
        <w:rPr>
          <w:sz w:val="22"/>
          <w:szCs w:val="22"/>
          <w:lang w:val="fr-FR"/>
        </w:rPr>
        <w:t xml:space="preserve"> sont accompagnés d'un accès gratuit aux ressources de conception telles que </w:t>
      </w:r>
      <w:r w:rsidR="004E234D" w:rsidRPr="00F34258">
        <w:rPr>
          <w:sz w:val="22"/>
          <w:szCs w:val="22"/>
          <w:lang w:val="fr-FR"/>
        </w:rPr>
        <w:t>d</w:t>
      </w:r>
      <w:r w:rsidRPr="00F34258">
        <w:rPr>
          <w:sz w:val="22"/>
          <w:szCs w:val="22"/>
          <w:lang w:val="fr-FR"/>
        </w:rPr>
        <w:t xml:space="preserve">es </w:t>
      </w:r>
      <w:r w:rsidR="004E234D" w:rsidRPr="00F34258">
        <w:rPr>
          <w:sz w:val="22"/>
          <w:szCs w:val="22"/>
          <w:lang w:val="fr-FR"/>
        </w:rPr>
        <w:t>plans</w:t>
      </w:r>
      <w:r w:rsidRPr="00F34258">
        <w:rPr>
          <w:sz w:val="22"/>
          <w:szCs w:val="22"/>
          <w:lang w:val="fr-FR"/>
        </w:rPr>
        <w:t xml:space="preserve">, </w:t>
      </w:r>
      <w:r w:rsidR="0074162A" w:rsidRPr="00F34258">
        <w:rPr>
          <w:sz w:val="22"/>
          <w:szCs w:val="22"/>
          <w:lang w:val="fr-FR"/>
        </w:rPr>
        <w:t>d</w:t>
      </w:r>
      <w:r w:rsidRPr="00F34258">
        <w:rPr>
          <w:sz w:val="22"/>
          <w:szCs w:val="22"/>
          <w:lang w:val="fr-FR"/>
        </w:rPr>
        <w:t xml:space="preserve">es modèles et </w:t>
      </w:r>
      <w:r w:rsidR="004E234D" w:rsidRPr="00F34258">
        <w:rPr>
          <w:sz w:val="22"/>
          <w:szCs w:val="22"/>
          <w:lang w:val="fr-FR"/>
        </w:rPr>
        <w:t>d</w:t>
      </w:r>
      <w:r w:rsidRPr="00F34258">
        <w:rPr>
          <w:sz w:val="22"/>
          <w:szCs w:val="22"/>
          <w:lang w:val="fr-FR"/>
        </w:rPr>
        <w:t xml:space="preserve">es rapports de test. Les ingénieurs peuvent évaluer les besoins en puissance, la forme et l'ajustement </w:t>
      </w:r>
      <w:r w:rsidR="004E234D" w:rsidRPr="00F34258">
        <w:rPr>
          <w:sz w:val="22"/>
          <w:szCs w:val="22"/>
          <w:lang w:val="fr-FR"/>
        </w:rPr>
        <w:t xml:space="preserve">des connecteurs </w:t>
      </w:r>
      <w:r w:rsidR="0074162A" w:rsidRPr="00F34258">
        <w:rPr>
          <w:sz w:val="22"/>
          <w:szCs w:val="22"/>
          <w:lang w:val="fr-FR"/>
        </w:rPr>
        <w:t>sur</w:t>
      </w:r>
      <w:r w:rsidRPr="00F34258">
        <w:rPr>
          <w:sz w:val="22"/>
          <w:szCs w:val="22"/>
          <w:lang w:val="fr-FR"/>
        </w:rPr>
        <w:t xml:space="preserve"> </w:t>
      </w:r>
      <w:hyperlink r:id="rId10" w:history="1">
        <w:r w:rsidR="00935CBF" w:rsidRPr="00F34258">
          <w:rPr>
            <w:rStyle w:val="Hyperlink"/>
            <w:sz w:val="22"/>
            <w:szCs w:val="22"/>
            <w:lang w:val="fr-FR"/>
          </w:rPr>
          <w:t>samtec.com/mpower</w:t>
        </w:r>
      </w:hyperlink>
      <w:r w:rsidR="00C51A73" w:rsidRPr="00F34258">
        <w:rPr>
          <w:sz w:val="22"/>
          <w:szCs w:val="22"/>
          <w:lang w:val="fr-FR"/>
        </w:rPr>
        <w:t xml:space="preserve"> ou en contactant le groupe </w:t>
      </w:r>
      <w:proofErr w:type="spellStart"/>
      <w:r w:rsidR="00C51A73" w:rsidRPr="00F34258">
        <w:rPr>
          <w:sz w:val="22"/>
          <w:szCs w:val="22"/>
          <w:lang w:val="fr-FR"/>
        </w:rPr>
        <w:t>Rugged</w:t>
      </w:r>
      <w:proofErr w:type="spellEnd"/>
      <w:r w:rsidR="00C51A73" w:rsidRPr="00F34258">
        <w:rPr>
          <w:sz w:val="22"/>
          <w:szCs w:val="22"/>
          <w:lang w:val="fr-FR"/>
        </w:rPr>
        <w:t xml:space="preserve">/Power de </w:t>
      </w:r>
      <w:proofErr w:type="spellStart"/>
      <w:r w:rsidR="00C51A73" w:rsidRPr="00F34258">
        <w:rPr>
          <w:sz w:val="22"/>
          <w:szCs w:val="22"/>
          <w:lang w:val="fr-FR"/>
        </w:rPr>
        <w:t>Samtec</w:t>
      </w:r>
      <w:proofErr w:type="spellEnd"/>
      <w:r w:rsidR="00C51A73" w:rsidRPr="00F34258">
        <w:rPr>
          <w:sz w:val="22"/>
          <w:szCs w:val="22"/>
          <w:lang w:val="fr-FR"/>
        </w:rPr>
        <w:t xml:space="preserve"> à </w:t>
      </w:r>
      <w:hyperlink r:id="rId11">
        <w:r w:rsidR="00935CBF" w:rsidRPr="00F34258">
          <w:rPr>
            <w:rStyle w:val="Hyperlink"/>
            <w:sz w:val="22"/>
            <w:szCs w:val="22"/>
            <w:lang w:val="fr-FR"/>
          </w:rPr>
          <w:t>RuggedPower@samtec.com</w:t>
        </w:r>
      </w:hyperlink>
      <w:r w:rsidR="00935CBF" w:rsidRPr="00F34258">
        <w:rPr>
          <w:sz w:val="22"/>
          <w:szCs w:val="22"/>
          <w:lang w:val="fr-FR"/>
        </w:rPr>
        <w:t xml:space="preserve">. </w:t>
      </w:r>
      <w:r w:rsidR="004E234D" w:rsidRPr="00F34258">
        <w:rPr>
          <w:sz w:val="22"/>
          <w:szCs w:val="22"/>
          <w:lang w:val="fr-FR"/>
        </w:rPr>
        <w:t>D</w:t>
      </w:r>
      <w:r w:rsidR="00935CBF" w:rsidRPr="00F34258">
        <w:rPr>
          <w:sz w:val="22"/>
          <w:szCs w:val="22"/>
          <w:lang w:val="fr-FR"/>
        </w:rPr>
        <w:t>es quantités de production</w:t>
      </w:r>
      <w:r w:rsidR="004E234D" w:rsidRPr="00F34258">
        <w:rPr>
          <w:sz w:val="22"/>
          <w:szCs w:val="22"/>
          <w:lang w:val="fr-FR"/>
        </w:rPr>
        <w:t xml:space="preserve"> totales</w:t>
      </w:r>
      <w:r w:rsidR="00935CBF" w:rsidRPr="00F34258">
        <w:rPr>
          <w:sz w:val="22"/>
          <w:szCs w:val="22"/>
          <w:lang w:val="fr-FR"/>
        </w:rPr>
        <w:t xml:space="preserve"> sont disponibles directement auprès de </w:t>
      </w:r>
      <w:proofErr w:type="spellStart"/>
      <w:r w:rsidR="00935CBF" w:rsidRPr="00F34258">
        <w:rPr>
          <w:sz w:val="22"/>
          <w:szCs w:val="22"/>
          <w:lang w:val="fr-FR"/>
        </w:rPr>
        <w:t>Samtec</w:t>
      </w:r>
      <w:proofErr w:type="spellEnd"/>
      <w:r w:rsidR="00935CBF" w:rsidRPr="00F34258">
        <w:rPr>
          <w:sz w:val="22"/>
          <w:szCs w:val="22"/>
          <w:lang w:val="fr-FR"/>
        </w:rPr>
        <w:t xml:space="preserve"> ou via </w:t>
      </w:r>
      <w:hyperlink r:id="rId12" w:history="1">
        <w:r w:rsidR="00B81818" w:rsidRPr="00F34258">
          <w:rPr>
            <w:rStyle w:val="Hyperlink"/>
            <w:sz w:val="22"/>
            <w:szCs w:val="22"/>
            <w:lang w:val="fr-FR"/>
          </w:rPr>
          <w:t xml:space="preserve">des partenaires de distribution autorisés. </w:t>
        </w:r>
      </w:hyperlink>
      <w:r w:rsidR="00B81818" w:rsidRPr="00F34258">
        <w:rPr>
          <w:sz w:val="22"/>
          <w:szCs w:val="22"/>
          <w:lang w:val="fr-FR"/>
        </w:rPr>
        <w:t xml:space="preserve"> </w:t>
      </w:r>
    </w:p>
    <w:p w14:paraId="24AD3902" w14:textId="77777777" w:rsidR="0017633A" w:rsidRPr="00F34258" w:rsidRDefault="0017633A" w:rsidP="00A72971">
      <w:pPr>
        <w:rPr>
          <w:sz w:val="22"/>
          <w:szCs w:val="22"/>
          <w:lang w:val="fr-FR"/>
        </w:rPr>
      </w:pPr>
    </w:p>
    <w:p w14:paraId="09B45A71" w14:textId="77777777" w:rsidR="00B156F3" w:rsidRPr="00F34258" w:rsidRDefault="00B156F3" w:rsidP="00B156F3">
      <w:pPr>
        <w:rPr>
          <w:rFonts w:ascii="Aptos" w:hAnsi="Aptos"/>
          <w:sz w:val="22"/>
          <w:szCs w:val="22"/>
          <w:lang w:val="fr-FR"/>
        </w:rPr>
      </w:pPr>
      <w:r w:rsidRPr="00F34258">
        <w:rPr>
          <w:rFonts w:ascii="Aptos" w:hAnsi="Aptos"/>
          <w:sz w:val="22"/>
          <w:szCs w:val="22"/>
          <w:lang w:val="fr-FR"/>
        </w:rPr>
        <w:t>-----------------------------</w:t>
      </w:r>
    </w:p>
    <w:p w14:paraId="66FE64C9" w14:textId="77777777" w:rsidR="00B156F3" w:rsidRPr="00F34258" w:rsidRDefault="00B156F3" w:rsidP="00B156F3">
      <w:pPr>
        <w:outlineLvl w:val="0"/>
        <w:rPr>
          <w:rFonts w:ascii="Aptos" w:hAnsi="Aptos" w:cs="Calibri"/>
          <w:b/>
          <w:sz w:val="22"/>
          <w:szCs w:val="22"/>
          <w:lang w:val="fr-FR"/>
        </w:rPr>
      </w:pPr>
      <w:r w:rsidRPr="00F34258">
        <w:rPr>
          <w:rFonts w:ascii="Aptos" w:hAnsi="Aptos" w:cs="Calibri"/>
          <w:b/>
          <w:sz w:val="22"/>
          <w:szCs w:val="22"/>
          <w:lang w:val="fr-FR"/>
        </w:rPr>
        <w:t xml:space="preserve">À propos de </w:t>
      </w:r>
      <w:proofErr w:type="spellStart"/>
      <w:r w:rsidRPr="00F34258">
        <w:rPr>
          <w:rFonts w:ascii="Aptos" w:hAnsi="Aptos" w:cs="Calibri"/>
          <w:b/>
          <w:sz w:val="22"/>
          <w:szCs w:val="22"/>
          <w:lang w:val="fr-FR"/>
        </w:rPr>
        <w:t>Samtec</w:t>
      </w:r>
      <w:proofErr w:type="spellEnd"/>
      <w:r w:rsidRPr="00F34258">
        <w:rPr>
          <w:rFonts w:ascii="Aptos" w:hAnsi="Aptos" w:cs="Calibri"/>
          <w:b/>
          <w:sz w:val="22"/>
          <w:szCs w:val="22"/>
          <w:lang w:val="fr-FR"/>
        </w:rPr>
        <w:t xml:space="preserve">, Inc. </w:t>
      </w:r>
    </w:p>
    <w:p w14:paraId="486D54A7" w14:textId="12154B32" w:rsidR="00B156F3" w:rsidRPr="00F34258" w:rsidRDefault="002F21FC" w:rsidP="00B156F3">
      <w:pPr>
        <w:rPr>
          <w:rFonts w:ascii="Aptos" w:hAnsi="Aptos"/>
          <w:color w:val="212121"/>
          <w:sz w:val="22"/>
          <w:szCs w:val="22"/>
          <w:lang w:val="fr-FR"/>
        </w:rPr>
      </w:pPr>
      <w:proofErr w:type="spellStart"/>
      <w:r w:rsidRPr="00F34258">
        <w:rPr>
          <w:rFonts w:ascii="Aptos" w:hAnsi="Aptos"/>
          <w:color w:val="212121"/>
          <w:sz w:val="22"/>
          <w:szCs w:val="22"/>
          <w:lang w:val="fr-FR"/>
        </w:rPr>
        <w:t>Samtec</w:t>
      </w:r>
      <w:proofErr w:type="spellEnd"/>
      <w:r w:rsidRPr="00F34258">
        <w:rPr>
          <w:rFonts w:ascii="Aptos" w:hAnsi="Aptos"/>
          <w:color w:val="212121"/>
          <w:sz w:val="22"/>
          <w:szCs w:val="22"/>
          <w:lang w:val="fr-FR"/>
        </w:rPr>
        <w:t xml:space="preserve"> est un fabricant mondial à capitaux privés, d'un milliard de dollars de chiffre d’affaires qui propose une large gamme de solutions d'interconnexion électronique, notamment carte à carte haute vitesse, câbles haute vitesse, optiques de cartes et de panneaux, RF de précision, à empilement flexible </w:t>
      </w:r>
      <w:r w:rsidRPr="00F34258">
        <w:rPr>
          <w:rFonts w:ascii="Aptos" w:hAnsi="Aptos"/>
          <w:bCs/>
          <w:color w:val="212121"/>
          <w:sz w:val="22"/>
          <w:szCs w:val="22"/>
          <w:lang w:val="fr-FR"/>
        </w:rPr>
        <w:t>et de composants micro/robustes et de câbles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>.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 xml:space="preserve"> 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 Avec 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 xml:space="preserve">plus de 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40 sites internationaux et des produits vendus dans plus de 125 pays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 xml:space="preserve"> différents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, la présence mondiale de </w:t>
      </w:r>
      <w:proofErr w:type="spellStart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Samtec</w:t>
      </w:r>
      <w:proofErr w:type="spellEnd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permet un service client inégalé. </w:t>
      </w:r>
      <w:proofErr w:type="spellStart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Samtec</w:t>
      </w:r>
      <w:proofErr w:type="spellEnd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</w:t>
      </w:r>
      <w:r w:rsidR="00E705C4">
        <w:rPr>
          <w:rFonts w:ascii="Aptos" w:hAnsi="Aptos"/>
          <w:color w:val="212121"/>
          <w:sz w:val="22"/>
          <w:szCs w:val="22"/>
          <w:lang w:val="fr-FR"/>
        </w:rPr>
        <w:t>fournit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des solutions d'interconnexion de 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>nouvelle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génération et de haute qualité pour les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>secteurs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des </w:t>
      </w:r>
      <w:proofErr w:type="spellStart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datacoms</w:t>
      </w:r>
      <w:proofErr w:type="spellEnd"/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,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>de l’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industrie,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 xml:space="preserve">du 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militaire/aérospatial,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 xml:space="preserve"> du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 médical,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>de l’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informatique, 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 xml:space="preserve">des 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semi-conduct</w:t>
      </w:r>
      <w:r w:rsidRPr="00F34258">
        <w:rPr>
          <w:rFonts w:ascii="Aptos" w:hAnsi="Aptos"/>
          <w:color w:val="212121"/>
          <w:sz w:val="22"/>
          <w:szCs w:val="22"/>
          <w:lang w:val="fr-FR"/>
        </w:rPr>
        <w:t>eurs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,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>de l’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 xml:space="preserve">instrumentation et </w:t>
      </w:r>
      <w:r w:rsidR="00C66EE8" w:rsidRPr="00F34258">
        <w:rPr>
          <w:rFonts w:ascii="Aptos" w:hAnsi="Aptos"/>
          <w:color w:val="212121"/>
          <w:sz w:val="22"/>
          <w:szCs w:val="22"/>
          <w:lang w:val="fr-FR"/>
        </w:rPr>
        <w:t>de l’</w:t>
      </w:r>
      <w:r w:rsidR="00B156F3" w:rsidRPr="00F34258">
        <w:rPr>
          <w:rFonts w:ascii="Aptos" w:hAnsi="Aptos"/>
          <w:color w:val="212121"/>
          <w:sz w:val="22"/>
          <w:szCs w:val="22"/>
          <w:lang w:val="fr-FR"/>
        </w:rPr>
        <w:t>automobile, entre autres.  Pour plus d'informations, veuillez visiter</w:t>
      </w:r>
      <w:r w:rsidR="00B156F3" w:rsidRPr="00F34258">
        <w:rPr>
          <w:rFonts w:ascii="Aptos" w:hAnsi="Aptos" w:cs="Calibri"/>
          <w:sz w:val="22"/>
          <w:szCs w:val="22"/>
          <w:shd w:val="clear" w:color="auto" w:fill="FFFFFF"/>
          <w:lang w:val="fr-FR"/>
        </w:rPr>
        <w:t xml:space="preserve"> : </w:t>
      </w:r>
      <w:hyperlink r:id="rId13" w:history="1">
        <w:r w:rsidR="00B156F3" w:rsidRPr="00F34258">
          <w:rPr>
            <w:rStyle w:val="Hyperlink"/>
            <w:rFonts w:ascii="Aptos" w:hAnsi="Aptos" w:cs="Calibri"/>
            <w:sz w:val="22"/>
            <w:szCs w:val="22"/>
            <w:shd w:val="clear" w:color="auto" w:fill="FFFFFF"/>
            <w:lang w:val="fr-FR"/>
          </w:rPr>
          <w:t>http://www.samtec.com</w:t>
        </w:r>
      </w:hyperlink>
      <w:r w:rsidR="00B156F3" w:rsidRPr="00F34258">
        <w:rPr>
          <w:rFonts w:ascii="Aptos" w:hAnsi="Aptos" w:cs="Calibri"/>
          <w:sz w:val="22"/>
          <w:szCs w:val="22"/>
          <w:shd w:val="clear" w:color="auto" w:fill="FFFFFF"/>
          <w:lang w:val="fr-FR"/>
        </w:rPr>
        <w:t xml:space="preserve">. </w:t>
      </w:r>
    </w:p>
    <w:p w14:paraId="25555825" w14:textId="77777777" w:rsidR="00B156F3" w:rsidRPr="00F34258" w:rsidRDefault="00B156F3" w:rsidP="00B156F3">
      <w:pPr>
        <w:spacing w:after="20"/>
        <w:outlineLvl w:val="0"/>
        <w:rPr>
          <w:b/>
          <w:sz w:val="22"/>
          <w:szCs w:val="22"/>
          <w:lang w:val="fr-FR"/>
        </w:rPr>
      </w:pPr>
      <w:proofErr w:type="spellStart"/>
      <w:r w:rsidRPr="00F34258">
        <w:rPr>
          <w:b/>
          <w:sz w:val="22"/>
          <w:szCs w:val="22"/>
          <w:lang w:val="fr-FR"/>
        </w:rPr>
        <w:t>Samtec</w:t>
      </w:r>
      <w:proofErr w:type="spellEnd"/>
      <w:r w:rsidRPr="00F34258">
        <w:rPr>
          <w:b/>
          <w:sz w:val="22"/>
          <w:szCs w:val="22"/>
          <w:lang w:val="fr-FR"/>
        </w:rPr>
        <w:t>, Inc.</w:t>
      </w:r>
    </w:p>
    <w:p w14:paraId="5623563C" w14:textId="77777777" w:rsidR="00B156F3" w:rsidRPr="00F34258" w:rsidRDefault="00B156F3" w:rsidP="00B156F3">
      <w:pPr>
        <w:spacing w:after="20"/>
        <w:outlineLvl w:val="0"/>
        <w:rPr>
          <w:b/>
          <w:sz w:val="22"/>
          <w:szCs w:val="22"/>
          <w:lang w:val="fr-FR"/>
        </w:rPr>
      </w:pPr>
      <w:r w:rsidRPr="00F34258">
        <w:rPr>
          <w:b/>
          <w:sz w:val="22"/>
          <w:szCs w:val="22"/>
          <w:lang w:val="fr-FR"/>
        </w:rPr>
        <w:t>C.P. 1147</w:t>
      </w:r>
    </w:p>
    <w:p w14:paraId="24B030FD" w14:textId="77777777" w:rsidR="00B156F3" w:rsidRPr="00F34258" w:rsidRDefault="00B156F3" w:rsidP="00B156F3">
      <w:pPr>
        <w:spacing w:after="20"/>
        <w:outlineLvl w:val="0"/>
        <w:rPr>
          <w:b/>
          <w:sz w:val="22"/>
          <w:szCs w:val="22"/>
          <w:lang w:val="fr-FR"/>
        </w:rPr>
      </w:pPr>
      <w:r w:rsidRPr="00F34258">
        <w:rPr>
          <w:b/>
          <w:sz w:val="22"/>
          <w:szCs w:val="22"/>
          <w:lang w:val="fr-FR"/>
        </w:rPr>
        <w:t xml:space="preserve">New Albany, IN 47151-1147 </w:t>
      </w:r>
    </w:p>
    <w:p w14:paraId="165410B0" w14:textId="77777777" w:rsidR="00B156F3" w:rsidRPr="00F34258" w:rsidRDefault="00B156F3" w:rsidP="00B156F3">
      <w:pPr>
        <w:spacing w:after="20"/>
        <w:outlineLvl w:val="0"/>
        <w:rPr>
          <w:b/>
          <w:sz w:val="22"/>
          <w:szCs w:val="22"/>
          <w:lang w:val="fr-FR"/>
        </w:rPr>
      </w:pPr>
      <w:r w:rsidRPr="00F34258">
        <w:rPr>
          <w:b/>
          <w:sz w:val="22"/>
          <w:szCs w:val="22"/>
          <w:lang w:val="fr-FR"/>
        </w:rPr>
        <w:t xml:space="preserve">USA </w:t>
      </w:r>
    </w:p>
    <w:p w14:paraId="3210DAF3" w14:textId="77777777" w:rsidR="00B156F3" w:rsidRPr="00F34258" w:rsidRDefault="00B156F3" w:rsidP="00B156F3">
      <w:pPr>
        <w:spacing w:after="20"/>
        <w:outlineLvl w:val="0"/>
        <w:rPr>
          <w:rStyle w:val="Hyperlink"/>
          <w:b/>
          <w:sz w:val="22"/>
          <w:szCs w:val="22"/>
          <w:lang w:val="fr-FR"/>
        </w:rPr>
      </w:pPr>
      <w:r w:rsidRPr="00F34258">
        <w:rPr>
          <w:b/>
          <w:sz w:val="22"/>
          <w:szCs w:val="22"/>
          <w:lang w:val="fr-FR"/>
        </w:rPr>
        <w:t>Téléphone : 1-800-SAMTEC-9 (800-726-8329)</w:t>
      </w:r>
    </w:p>
    <w:p w14:paraId="4BAC59CB" w14:textId="77777777" w:rsidR="00B156F3" w:rsidRPr="00F34258" w:rsidRDefault="00B156F3" w:rsidP="00B156F3">
      <w:pPr>
        <w:spacing w:after="20"/>
        <w:rPr>
          <w:rFonts w:eastAsia="Calibri"/>
          <w:color w:val="000000" w:themeColor="text1"/>
          <w:sz w:val="22"/>
          <w:szCs w:val="22"/>
          <w:lang w:val="fr-FR"/>
        </w:rPr>
      </w:pPr>
    </w:p>
    <w:p w14:paraId="41A501EF" w14:textId="16794EDB" w:rsidR="00EA0F19" w:rsidRPr="00F34258" w:rsidRDefault="00EA0F19">
      <w:pPr>
        <w:rPr>
          <w:lang w:val="fr-FR"/>
        </w:rPr>
      </w:pPr>
    </w:p>
    <w:sectPr w:rsidR="00EA0F19" w:rsidRPr="00F34258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51B99"/>
    <w:rsid w:val="00052D01"/>
    <w:rsid w:val="00065745"/>
    <w:rsid w:val="00087611"/>
    <w:rsid w:val="000E553C"/>
    <w:rsid w:val="000E621E"/>
    <w:rsid w:val="001344D8"/>
    <w:rsid w:val="00141891"/>
    <w:rsid w:val="00142119"/>
    <w:rsid w:val="0016620A"/>
    <w:rsid w:val="0017021B"/>
    <w:rsid w:val="00174DA1"/>
    <w:rsid w:val="001761E1"/>
    <w:rsid w:val="0017633A"/>
    <w:rsid w:val="001841F2"/>
    <w:rsid w:val="00186963"/>
    <w:rsid w:val="001B30AC"/>
    <w:rsid w:val="001C7EB0"/>
    <w:rsid w:val="001E750C"/>
    <w:rsid w:val="001F2F6E"/>
    <w:rsid w:val="00221347"/>
    <w:rsid w:val="00227E42"/>
    <w:rsid w:val="00252CD0"/>
    <w:rsid w:val="00263952"/>
    <w:rsid w:val="002A78B6"/>
    <w:rsid w:val="002C1939"/>
    <w:rsid w:val="002F1256"/>
    <w:rsid w:val="002F21FC"/>
    <w:rsid w:val="00395914"/>
    <w:rsid w:val="0039749C"/>
    <w:rsid w:val="003D22BA"/>
    <w:rsid w:val="003D5E40"/>
    <w:rsid w:val="003E0C93"/>
    <w:rsid w:val="003E7B27"/>
    <w:rsid w:val="003F0B66"/>
    <w:rsid w:val="003F2C25"/>
    <w:rsid w:val="00421089"/>
    <w:rsid w:val="00426C2B"/>
    <w:rsid w:val="00442DA4"/>
    <w:rsid w:val="004476CC"/>
    <w:rsid w:val="00490C56"/>
    <w:rsid w:val="004945E7"/>
    <w:rsid w:val="004B7A73"/>
    <w:rsid w:val="004D3874"/>
    <w:rsid w:val="004D6185"/>
    <w:rsid w:val="004E234D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E0A7A"/>
    <w:rsid w:val="005E1548"/>
    <w:rsid w:val="005E7009"/>
    <w:rsid w:val="005F3EFC"/>
    <w:rsid w:val="00615561"/>
    <w:rsid w:val="00631490"/>
    <w:rsid w:val="00641770"/>
    <w:rsid w:val="006476DD"/>
    <w:rsid w:val="00651E5E"/>
    <w:rsid w:val="006537E4"/>
    <w:rsid w:val="00696E19"/>
    <w:rsid w:val="006972CA"/>
    <w:rsid w:val="006A0321"/>
    <w:rsid w:val="006A0BEF"/>
    <w:rsid w:val="006A126D"/>
    <w:rsid w:val="006A2A5A"/>
    <w:rsid w:val="006E1BD6"/>
    <w:rsid w:val="006F66BC"/>
    <w:rsid w:val="0072162A"/>
    <w:rsid w:val="00723553"/>
    <w:rsid w:val="00727BBC"/>
    <w:rsid w:val="0074162A"/>
    <w:rsid w:val="00747A50"/>
    <w:rsid w:val="007603F4"/>
    <w:rsid w:val="00771BC6"/>
    <w:rsid w:val="00781BAA"/>
    <w:rsid w:val="007830AB"/>
    <w:rsid w:val="007A0D04"/>
    <w:rsid w:val="007D379F"/>
    <w:rsid w:val="00811F87"/>
    <w:rsid w:val="0084163C"/>
    <w:rsid w:val="00842A9C"/>
    <w:rsid w:val="00845991"/>
    <w:rsid w:val="0087692D"/>
    <w:rsid w:val="00894CEF"/>
    <w:rsid w:val="008A13CB"/>
    <w:rsid w:val="008B7ADC"/>
    <w:rsid w:val="008C2EB3"/>
    <w:rsid w:val="008D1EE4"/>
    <w:rsid w:val="008E5CC7"/>
    <w:rsid w:val="009260A8"/>
    <w:rsid w:val="00935CBF"/>
    <w:rsid w:val="00953E8D"/>
    <w:rsid w:val="00994A99"/>
    <w:rsid w:val="009C7D8B"/>
    <w:rsid w:val="009D1752"/>
    <w:rsid w:val="009D39B7"/>
    <w:rsid w:val="009E495E"/>
    <w:rsid w:val="009E7208"/>
    <w:rsid w:val="009F06C7"/>
    <w:rsid w:val="00A02272"/>
    <w:rsid w:val="00A21F9F"/>
    <w:rsid w:val="00A3602A"/>
    <w:rsid w:val="00A55C31"/>
    <w:rsid w:val="00A63427"/>
    <w:rsid w:val="00A70079"/>
    <w:rsid w:val="00A72971"/>
    <w:rsid w:val="00A943C1"/>
    <w:rsid w:val="00AB66A9"/>
    <w:rsid w:val="00AC2E13"/>
    <w:rsid w:val="00AC31D7"/>
    <w:rsid w:val="00AD090A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D0586"/>
    <w:rsid w:val="00BD2F57"/>
    <w:rsid w:val="00BE3096"/>
    <w:rsid w:val="00BE3D23"/>
    <w:rsid w:val="00C0333B"/>
    <w:rsid w:val="00C07145"/>
    <w:rsid w:val="00C1715A"/>
    <w:rsid w:val="00C26CB9"/>
    <w:rsid w:val="00C3403F"/>
    <w:rsid w:val="00C36C42"/>
    <w:rsid w:val="00C51A73"/>
    <w:rsid w:val="00C63401"/>
    <w:rsid w:val="00C66EE8"/>
    <w:rsid w:val="00C959D3"/>
    <w:rsid w:val="00CA3B72"/>
    <w:rsid w:val="00CD41B8"/>
    <w:rsid w:val="00CE0700"/>
    <w:rsid w:val="00CE5ADB"/>
    <w:rsid w:val="00D25216"/>
    <w:rsid w:val="00D3250C"/>
    <w:rsid w:val="00D41ED7"/>
    <w:rsid w:val="00D4264A"/>
    <w:rsid w:val="00D554BB"/>
    <w:rsid w:val="00DB03F1"/>
    <w:rsid w:val="00DC3E9D"/>
    <w:rsid w:val="00DE3BEF"/>
    <w:rsid w:val="00DE3FB2"/>
    <w:rsid w:val="00DF7501"/>
    <w:rsid w:val="00E30F9A"/>
    <w:rsid w:val="00E33642"/>
    <w:rsid w:val="00E36091"/>
    <w:rsid w:val="00E36286"/>
    <w:rsid w:val="00E37993"/>
    <w:rsid w:val="00E4462E"/>
    <w:rsid w:val="00E53EFE"/>
    <w:rsid w:val="00E62C29"/>
    <w:rsid w:val="00E705C4"/>
    <w:rsid w:val="00E9020F"/>
    <w:rsid w:val="00E92EA8"/>
    <w:rsid w:val="00EA0F19"/>
    <w:rsid w:val="00EA116D"/>
    <w:rsid w:val="00EB579F"/>
    <w:rsid w:val="00EB5820"/>
    <w:rsid w:val="00EB6F85"/>
    <w:rsid w:val="00EC3E9D"/>
    <w:rsid w:val="00EE2EEF"/>
    <w:rsid w:val="00EF30EF"/>
    <w:rsid w:val="00F02BF7"/>
    <w:rsid w:val="00F151AA"/>
    <w:rsid w:val="00F34258"/>
    <w:rsid w:val="00F46DC7"/>
    <w:rsid w:val="00F53CE8"/>
    <w:rsid w:val="00F85458"/>
    <w:rsid w:val="00F97F4E"/>
    <w:rsid w:val="00FA4C15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7213"/>
  </w:style>
  <w:style w:type="character" w:customStyle="1" w:styleId="eop">
    <w:name w:val="eop"/>
    <w:basedOn w:val="DefaultParagraphFont"/>
    <w:rsid w:val="004476CC"/>
  </w:style>
  <w:style w:type="character" w:styleId="PlaceholderText">
    <w:name w:val="Placeholder Text"/>
    <w:basedOn w:val="DefaultParagraphFont"/>
    <w:uiPriority w:val="99"/>
    <w:semiHidden/>
    <w:rsid w:val="005F3E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umpt-ra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umpt" TargetMode="External"/><Relationship Id="rId12" Type="http://schemas.openxmlformats.org/officeDocument/2006/relationships/hyperlink" Target="https://www.samtec.com/about/location/global-distribu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products/umps" TargetMode="External"/><Relationship Id="rId11" Type="http://schemas.openxmlformats.org/officeDocument/2006/relationships/hyperlink" Target="mailto:RuggedPower@samtec.com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rugged-power/power-systems/ultra-micro-powe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Andre Rousselot</cp:lastModifiedBy>
  <cp:revision>9</cp:revision>
  <dcterms:created xsi:type="dcterms:W3CDTF">2026-04-15T13:31:00Z</dcterms:created>
  <dcterms:modified xsi:type="dcterms:W3CDTF">2026-04-17T14:04:00Z</dcterms:modified>
</cp:coreProperties>
</file>