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 w:val="0"/>
        <w:autoSpaceDE w:val="0"/>
        <w:autoSpaceDN w:val="0"/>
        <w:adjustRightInd w:val="0"/>
        <w:rPr>
          <w:rFonts w:ascii="Times New Roman" w:eastAsia="PMingLiU" w:cs="Times" w:hAnsi="Times New Roman" w:hint="eastAsia"/>
          <w:b/>
          <w:bCs/>
        </w:rPr>
      </w:pPr>
      <w:bookmarkStart w:id="0" w:name="_GoBack"/>
      <w:bookmarkEnd w:id="0"/>
      <w:r>
        <w:rPr>
          <w:rFonts w:ascii="Times New Roman" w:eastAsia="PMingLiU" w:hAnsi="Times New Roman" w:hint="eastAsia"/>
          <w:b/>
        </w:rPr>
        <w:drawing>
          <wp:inline distT="0" distB="0" distL="0" distR="0">
            <wp:extent cx="1509310" cy="437886"/>
            <wp:effectExtent l="0" t="0" r="0" b="0"/>
            <wp:docPr id="1" name="图片 1" descr="A close up of a sign&#10;&#10;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9310" cy="437886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adjustRightInd w:val="0"/>
        <w:rPr>
          <w:rFonts w:ascii="Times New Roman" w:eastAsia="PMingLiU" w:cs="Times" w:hAnsi="Times New Roman" w:hint="eastAsia"/>
          <w:b/>
          <w:bCs/>
        </w:rPr>
      </w:pPr>
    </w:p>
    <w:p>
      <w:pPr>
        <w:widowControl w:val="0"/>
        <w:autoSpaceDE w:val="0"/>
        <w:autoSpaceDN w:val="0"/>
        <w:adjustRightInd w:val="0"/>
        <w:rPr>
          <w:rFonts w:ascii="Times New Roman" w:eastAsia="PMingLiU" w:cs="Times" w:hAnsi="Times New Roman" w:hint="eastAsia"/>
          <w:b/>
          <w:bCs/>
        </w:rPr>
      </w:pPr>
      <w:r>
        <w:rPr>
          <w:rFonts w:ascii="Times New Roman" w:eastAsia="PMingLiU" w:hAnsi="Times New Roman" w:hint="eastAsia"/>
          <w:b/>
        </w:rPr>
        <w:t>即時發佈</w:t>
      </w:r>
    </w:p>
    <w:p>
      <w:pPr>
        <w:widowControl w:val="0"/>
        <w:autoSpaceDE w:val="0"/>
        <w:autoSpaceDN w:val="0"/>
        <w:adjustRightInd w:val="0"/>
        <w:rPr>
          <w:rFonts w:ascii="Times New Roman" w:eastAsia="PMingLiU" w:cs="Times" w:hAnsi="Times New Roman" w:hint="eastAsia"/>
          <w:b/>
          <w:bCs/>
        </w:rPr>
      </w:pPr>
      <w:r>
        <w:rPr>
          <w:rFonts w:ascii="Times New Roman" w:eastAsia="PMingLiU" w:hAnsi="Times New Roman" w:hint="eastAsia"/>
          <w:b/>
        </w:rPr>
        <w:t>2026</w:t>
      </w:r>
      <w:r>
        <w:rPr>
          <w:rFonts w:ascii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hAnsi="Times New Roman" w:hint="eastAsia"/>
          <w:b/>
        </w:rPr>
        <w:t>年5</w:t>
      </w:r>
      <w:r>
        <w:rPr>
          <w:rFonts w:ascii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hAnsi="Times New Roman" w:hint="eastAsia"/>
          <w:b/>
        </w:rPr>
        <w:t>月</w:t>
      </w:r>
      <w:r>
        <w:rPr>
          <w:rFonts w:ascii="Times New Roman" w:eastAsia="PMingLiU" w:hAnsi="Times New Roman" w:hint="eastAsia"/>
        </w:rPr>
        <w:tab/>
        <w:tab/>
      </w:r>
    </w:p>
    <w:p>
      <w:pPr>
        <w:widowControl w:val="0"/>
        <w:autoSpaceDE w:val="0"/>
        <w:autoSpaceDN w:val="0"/>
        <w:adjustRightInd w:val="0"/>
        <w:rPr>
          <w:rFonts w:ascii="Times New Roman" w:eastAsia="PMingLiU" w:cs="Times" w:hAnsi="Times New Roman" w:hint="eastAsia"/>
          <w:b/>
          <w:bCs/>
        </w:rPr>
      </w:pPr>
      <w:r>
        <w:rPr>
          <w:rFonts w:ascii="Times New Roman" w:eastAsia="PMingLiU" w:hAnsi="Times New Roman" w:hint="eastAsia"/>
          <w:b/>
        </w:rPr>
        <w:t>聯絡人：</w:t>
      </w:r>
      <w:r>
        <w:rPr>
          <w:rStyle w:val="23"/>
          <w:rFonts w:ascii="Times New Roman" w:eastAsia="PMingLiU" w:hAnsi="Times New Roman" w:hint="eastAsia"/>
        </w:rPr>
        <w:fldChar w:fldCharType="begin"/>
      </w:r>
      <w:r>
        <w:instrText>HYPERLINK "mailto:Mediaroom@samtec.com"</w:instrText>
      </w:r>
      <w:r>
        <w:rPr>
          <w:rStyle w:val="23"/>
          <w:rFonts w:ascii="Times New Roman" w:eastAsia="PMingLiU" w:hAnsi="Times New Roman" w:hint="eastAsia"/>
        </w:rPr>
        <w:fldChar w:fldCharType="separate"/>
      </w:r>
      <w:r>
        <w:rPr>
          <w:rStyle w:val="23"/>
          <w:rFonts w:ascii="Times New Roman" w:eastAsia="PMingLiU" w:hAnsi="Times New Roman" w:hint="eastAsia"/>
        </w:rPr>
        <w:t>Mediaroom@samtec.com</w:t>
      </w:r>
      <w:r>
        <w:rPr>
          <w:rStyle w:val="23"/>
          <w:rFonts w:ascii="Times New Roman" w:eastAsia="PMingLiU" w:hAnsi="Times New Roman" w:hint="eastAsia"/>
        </w:rPr>
        <w:fldChar w:fldCharType="end"/>
      </w:r>
    </w:p>
    <w:p>
      <w:pPr>
        <w:spacing w:after="0"/>
        <w:rPr>
          <w:rFonts w:ascii="Times New Roman" w:eastAsia="PMingLiU" w:hAnsi="Times New Roman" w:hint="eastAsia"/>
        </w:rPr>
      </w:pPr>
    </w:p>
    <w:p>
      <w:pPr>
        <w:spacing w:after="0"/>
        <w:jc w:val="center"/>
        <w:rPr>
          <w:rFonts w:ascii="Times New Roman" w:eastAsia="PMingLiU" w:hAnsi="Times New Roman" w:hint="eastAsia"/>
          <w:b/>
          <w:bCs/>
          <w:sz w:val="28"/>
          <w:szCs w:val="28"/>
        </w:rPr>
      </w:pPr>
      <w:r>
        <w:rPr>
          <w:rFonts w:ascii="Times New Roman" w:eastAsia="PMingLiU" w:hAnsi="Times New Roman" w:hint="eastAsia"/>
          <w:b/>
          <w:sz w:val="28"/>
        </w:rPr>
        <w:t>Samtec 推出配備通孔 PCB 端子的超微型 mPOWER</w:t>
      </w:r>
      <w:r>
        <w:rPr>
          <w:rFonts w:ascii="Times New Roman" w:eastAsia="PMingLiU" w:hAnsi="Times New Roman" w:hint="eastAsia"/>
          <w:b/>
          <w:sz w:val="28"/>
          <w:vertAlign w:val="superscript"/>
        </w:rPr>
        <w:t>®</w:t>
      </w:r>
      <w:r>
        <w:rPr>
          <w:rFonts w:ascii="Times New Roman" w:hAnsi="Times New Roman" w:hint="eastAsia"/>
          <w:b/>
          <w:sz w:val="28"/>
          <w:lang w:eastAsia="zh-CN"/>
        </w:rPr>
        <w:t xml:space="preserve"> </w:t>
      </w:r>
      <w:r>
        <w:rPr>
          <w:rFonts w:ascii="Times New Roman" w:eastAsia="PMingLiU" w:hAnsi="Times New Roman" w:hint="eastAsia"/>
          <w:b/>
          <w:sz w:val="28"/>
        </w:rPr>
        <w:t>連接器</w:t>
      </w:r>
    </w:p>
    <w:p>
      <w:pPr>
        <w:spacing w:after="0"/>
        <w:jc w:val="center"/>
        <w:rPr>
          <w:rFonts w:ascii="Times New Roman" w:eastAsia="PMingLiU" w:hAnsi="Times New Roman" w:hint="eastAsia"/>
          <w:i/>
          <w:iCs/>
          <w:sz w:val="22"/>
          <w:szCs w:val="22"/>
        </w:rPr>
      </w:pPr>
      <w:r>
        <w:rPr>
          <w:rFonts w:ascii="Times New Roman" w:eastAsia="PMingLiU" w:hAnsi="Times New Roman" w:hint="eastAsia"/>
          <w:i/>
          <w:sz w:val="22"/>
        </w:rPr>
        <w:t xml:space="preserve">Samtec 推出帶通孔 PCB 端子選件的超微型 mPOWER 連接器系統，旨在提升工業、軍事及航天應用中的機械強度與可靠性。 </w:t>
      </w:r>
    </w:p>
    <w:p>
      <w:pPr>
        <w:spacing w:after="20"/>
        <w:rPr>
          <w:rFonts w:ascii="Times New Roman" w:eastAsia="PMingLiU" w:hAnsi="Times New Roman" w:hint="eastAsia"/>
          <w:sz w:val="22"/>
          <w:szCs w:val="22"/>
        </w:rPr>
      </w:pPr>
    </w:p>
    <w:p>
      <w:pPr>
        <w:spacing w:after="0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  <w:r>
        <w:rPr>
          <w:rStyle w:val="31"/>
          <w:rFonts w:ascii="Times New Roman" w:eastAsia="PMingLiU" w:hAnsi="Times New Roman" w:hint="eastAsia"/>
          <w:b/>
          <w:color w:val="000000"/>
          <w:sz w:val="22"/>
          <w:shd w:val="clear" w:color="auto" w:fill="FFFFFF"/>
        </w:rPr>
        <w:t>印第安納州新奧爾巴尼：</w:t>
      </w:r>
      <w:r>
        <w:rPr>
          <w:rStyle w:val="31"/>
          <w:rFonts w:ascii="Times New Roman" w:eastAsia="PMingLiU" w:hAnsi="Times New Roman" w:hint="eastAsia"/>
          <w:color w:val="000000"/>
          <w:sz w:val="22"/>
          <w:shd w:val="clear" w:color="auto" w:fill="FFFFFF"/>
        </w:rPr>
        <w:t>連接器行業的服務翹楚 Samtec, Inc. 宣佈，其廣受歡迎的 mPOWER 超微型電源互連系統將擴充產品線。</w:t>
      </w:r>
      <w:r>
        <w:rPr>
          <w:rStyle w:val="31"/>
          <w:rFonts w:ascii="Times New Roman" w:eastAsia="PMingLiU" w:hAnsi="Times New Roman" w:hint="eastAsia"/>
          <w:sz w:val="22"/>
          <w:shd w:val="clear" w:color="auto" w:fill="FFFFFF"/>
        </w:rPr>
        <w:t>mPOWER 垂直板對板連接器（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begin"/>
      </w:r>
      <w:r>
        <w:instrText>HYPERLINK "https://www.samtec.com/products/umps"</w:instrTex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separate"/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t>UMPS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end"/>
      </w:r>
      <w:r>
        <w:rPr>
          <w:rFonts w:ascii="Times New Roman" w:eastAsia="PMingLiU" w:hAnsi="Times New Roman" w:hint="eastAsia"/>
          <w:sz w:val="22"/>
          <w:shd w:val="clear" w:color="auto" w:fill="FFFFFF"/>
        </w:rPr>
        <w:t>、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begin"/>
      </w:r>
      <w:r>
        <w:instrText>HYPERLINK "https://www.samtec.com/products/umpt"</w:instrTex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separate"/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t>UMPT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end"/>
      </w:r>
      <w:r>
        <w:rPr>
          <w:rFonts w:ascii="Times New Roman" w:eastAsia="PMingLiU" w:hAnsi="Times New Roman" w:hint="eastAsia"/>
          <w:sz w:val="22"/>
          <w:shd w:val="clear" w:color="auto" w:fill="FFFFFF"/>
        </w:rPr>
        <w:t>）</w:t>
      </w:r>
      <w:r>
        <w:rPr>
          <w:rStyle w:val="31"/>
          <w:rFonts w:ascii="Times New Roman" w:eastAsia="PMingLiU" w:hAnsi="Times New Roman" w:hint="eastAsia"/>
          <w:sz w:val="22"/>
          <w:shd w:val="clear" w:color="auto" w:fill="FFFFFF"/>
        </w:rPr>
        <w:t>及直角板對板連接器</w:t>
      </w:r>
      <w:r>
        <w:rPr>
          <w:rStyle w:val="31"/>
          <w:rFonts w:ascii="Times New Roman" w:hAnsi="Times New Roman" w:hint="eastAsia"/>
          <w:sz w:val="22"/>
          <w:shd w:val="clear" w:color="auto" w:fill="FFFFFF"/>
          <w:lang w:eastAsia="zh-TW"/>
        </w:rPr>
        <w:t xml:space="preserve"> (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begin"/>
      </w:r>
      <w:r>
        <w:instrText>HYPERLINK "https://www.samtec.com/products/umpt-ra"</w:instrTex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separate"/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t>UMPT-RA</w:t>
      </w:r>
      <w:r>
        <w:rPr>
          <w:rStyle w:val="23"/>
          <w:rFonts w:ascii="Times New Roman" w:eastAsia="PMingLiU" w:hAnsi="Times New Roman" w:hint="eastAsia"/>
          <w:color w:val="auto"/>
          <w:sz w:val="22"/>
          <w:shd w:val="clear" w:color="auto" w:fill="FFFFFF"/>
        </w:rPr>
        <w:fldChar w:fldCharType="end"/>
      </w:r>
      <w:r>
        <w:rPr>
          <w:rFonts w:ascii="Times New Roman" w:hAnsi="Times New Roman" w:hint="eastAsia"/>
          <w:lang w:eastAsia="zh-TW"/>
        </w:rPr>
        <w:t>)</w:t>
      </w:r>
      <w:r>
        <w:rPr>
          <w:rStyle w:val="31"/>
          <w:rFonts w:ascii="Times New Roman" w:eastAsia="PMingLiU" w:hAnsi="Times New Roman" w:hint="eastAsia"/>
          <w:sz w:val="22"/>
          <w:shd w:val="clear" w:color="auto" w:fill="FFFFFF"/>
        </w:rPr>
        <w:t xml:space="preserve"> 現可配備通孔板端接選件，可提供嚴苛的工業、軍事及航天應用所需的增強型機械堅固性。此外，亦提供採用表面貼裝技術的連接器設計。 </w:t>
      </w:r>
    </w:p>
    <w:p>
      <w:pPr>
        <w:spacing w:after="0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</w:p>
    <w:p>
      <w:pPr>
        <w:spacing w:after="0"/>
        <w:jc w:val="center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  <w:r>
        <w:rPr>
          <w:rFonts w:ascii="Times New Roman" w:eastAsia="PMingLiU" w:hAnsi="Times New Roman" w:hint="eastAsia"/>
          <w:sz w:val="22"/>
          <w:shd w:val="clear" w:color="auto" w:fill="FFFFFF"/>
        </w:rPr>
        <w:drawing>
          <wp:inline distT="0" distB="0" distL="0" distR="0">
            <wp:extent cx="3526971" cy="1983921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6971" cy="1983921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</w:p>
    <w:p>
      <w:pPr>
        <w:spacing w:after="0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  <w:r>
        <w:rPr>
          <w:rStyle w:val="31"/>
          <w:rFonts w:ascii="Times New Roman" w:eastAsia="PMingLiU" w:hAnsi="Times New Roman" w:hint="eastAsia"/>
          <w:sz w:val="22"/>
          <w:shd w:val="clear" w:color="auto" w:fill="FFFFFF"/>
        </w:rPr>
        <w:t xml:space="preserve">mPOWER 超微型連接器專為高功率密度而設計，與傳統電源連接器相比，可節省 40% 的空間。其緊湊的結構設計使每片電源模組可支持高達 18 安培的電流，可確保提供可靠的高電流性能，而無需犧牲電路板空間。 </w:t>
      </w:r>
    </w:p>
    <w:p>
      <w:pPr>
        <w:spacing w:after="0"/>
        <w:rPr>
          <w:rStyle w:val="31"/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</w:p>
    <w:p>
      <w:pPr>
        <w:rPr>
          <w:rFonts w:ascii="Times New Roman" w:eastAsia="PMingLiU" w:hAnsi="Times New Roman" w:hint="eastAsia"/>
          <w:sz w:val="22"/>
          <w:szCs w:val="22"/>
        </w:rPr>
      </w:pPr>
      <w:r>
        <w:rPr>
          <w:rFonts w:ascii="Times New Roman" w:eastAsia="PMingLiU" w:hAnsi="Times New Roman" w:hint="eastAsia"/>
          <w:sz w:val="22"/>
        </w:rPr>
        <w:t>除功率密度之外，mPOWER 互連解決方案還為板對板、線對板及線對線應用提供了設計靈活性。透過提供一系列選項（包括垂直與直角配置、5 毫米至 20 毫米的堆疊高度、堅固的鎖定功能，以及 2 至 10 個電源位置），系統設計得以簡化。PVC 或 Teflon</w:t>
      </w:r>
      <w:r>
        <w:rPr>
          <w:rFonts w:ascii="Times New Roman" w:eastAsia="PMingLiU" w:hAnsi="Times New Roman" w:hint="eastAsia"/>
          <w:sz w:val="22"/>
          <w:vertAlign w:val="superscript"/>
        </w:rPr>
        <w:t>®</w:t>
      </w:r>
      <w:r>
        <w:rPr>
          <w:rFonts w:ascii="Times New Roman" w:eastAsia="PMingLiU" w:hAnsi="Times New Roman" w:hint="eastAsia"/>
          <w:sz w:val="22"/>
        </w:rPr>
        <w:t xml:space="preserve"> 氟聚合物線纜組件提供多種線徑規格，以滿足各種應用需求。</w:t>
      </w:r>
    </w:p>
    <w:p>
      <w:pPr>
        <w:rPr>
          <w:rFonts w:ascii="Times New Roman" w:eastAsia="PMingLiU" w:hAnsi="Times New Roman" w:hint="eastAsia"/>
          <w:sz w:val="22"/>
          <w:szCs w:val="22"/>
        </w:rPr>
      </w:pPr>
      <w:r>
        <w:rPr>
          <w:rFonts w:ascii="Times New Roman" w:eastAsia="PMingLiU" w:hAnsi="Times New Roman" w:hint="eastAsia"/>
          <w:sz w:val="22"/>
        </w:rPr>
        <w:t xml:space="preserve">為了簡化設計流程，Samtec 的 mPOWER 連接器提供免費的設計資源，例如電路圖、模型及測試報告。工程師可透過 </w:t>
      </w:r>
      <w:r>
        <w:rPr>
          <w:rStyle w:val="23"/>
          <w:rFonts w:ascii="Times New Roman" w:eastAsia="PMingLiU" w:hAnsi="Times New Roman" w:hint="eastAsia"/>
          <w:sz w:val="22"/>
        </w:rPr>
        <w:fldChar w:fldCharType="begin"/>
      </w:r>
      <w:r>
        <w:instrText>HYPERLINK "https://www.samtec.com/rugged-power/power-systems/ultra-micro-power/"</w:instrText>
      </w:r>
      <w:r>
        <w:rPr>
          <w:rStyle w:val="23"/>
          <w:rFonts w:ascii="Times New Roman" w:eastAsia="PMingLiU" w:hAnsi="Times New Roman" w:hint="eastAsia"/>
          <w:sz w:val="22"/>
        </w:rPr>
        <w:fldChar w:fldCharType="separate"/>
      </w:r>
      <w:r>
        <w:rPr>
          <w:rStyle w:val="23"/>
          <w:rFonts w:ascii="Times New Roman" w:eastAsia="PMingLiU" w:hAnsi="Times New Roman" w:hint="eastAsia"/>
          <w:sz w:val="22"/>
        </w:rPr>
        <w:t>samtec.com/mpower</w:t>
      </w:r>
      <w:r>
        <w:rPr>
          <w:rStyle w:val="23"/>
          <w:rFonts w:ascii="Times New Roman" w:eastAsia="PMingLiU" w:hAnsi="Times New Roman" w:hint="eastAsia"/>
          <w:sz w:val="22"/>
        </w:rPr>
        <w:fldChar w:fldCharType="end"/>
      </w:r>
      <w:r>
        <w:rPr>
          <w:rFonts w:ascii="Times New Roman" w:eastAsia="PMingLiU" w:hAnsi="Times New Roman" w:hint="eastAsia"/>
          <w:sz w:val="22"/>
        </w:rPr>
        <w:t xml:space="preserve"> 評估電源需求、外形與安裝適配性，或聯絡 Samtec 的 Rugged/Power 部門（電子郵件：</w:t>
      </w:r>
      <w:r>
        <w:rPr>
          <w:rStyle w:val="23"/>
          <w:rFonts w:ascii="Times New Roman" w:eastAsia="PMingLiU" w:hAnsi="Times New Roman" w:hint="eastAsia"/>
          <w:sz w:val="22"/>
        </w:rPr>
        <w:fldChar w:fldCharType="begin"/>
      </w:r>
      <w:r>
        <w:instrText>HYPERLINK "mailto:RuggedPower@samtec.com"</w:instrText>
      </w:r>
      <w:r>
        <w:rPr>
          <w:rStyle w:val="23"/>
          <w:rFonts w:ascii="Times New Roman" w:eastAsia="PMingLiU" w:hAnsi="Times New Roman" w:hint="eastAsia"/>
          <w:sz w:val="22"/>
        </w:rPr>
        <w:fldChar w:fldCharType="separate"/>
      </w:r>
      <w:r>
        <w:rPr>
          <w:rStyle w:val="23"/>
          <w:rFonts w:ascii="Times New Roman" w:eastAsia="PMingLiU" w:hAnsi="Times New Roman" w:hint="eastAsia"/>
          <w:sz w:val="22"/>
        </w:rPr>
        <w:t>RuggedPower@samtec.com</w:t>
      </w:r>
      <w:r>
        <w:rPr>
          <w:rStyle w:val="23"/>
          <w:rFonts w:ascii="Times New Roman" w:eastAsia="PMingLiU" w:hAnsi="Times New Roman" w:hint="eastAsia"/>
          <w:sz w:val="22"/>
        </w:rPr>
        <w:fldChar w:fldCharType="end"/>
      </w:r>
      <w:r>
        <w:rPr>
          <w:rFonts w:ascii="Times New Roman" w:eastAsia="PMingLiU" w:hAnsi="Times New Roman" w:hint="eastAsia"/>
          <w:sz w:val="22"/>
        </w:rPr>
        <w:t>）。您可直接向 Samtec 訂購全系列產品，或透過</w:t>
      </w:r>
      <w:r>
        <w:rPr>
          <w:rStyle w:val="23"/>
          <w:rFonts w:ascii="Times New Roman" w:eastAsia="PMingLiU" w:hAnsi="Times New Roman" w:hint="eastAsia"/>
          <w:sz w:val="22"/>
        </w:rPr>
        <w:fldChar w:fldCharType="begin"/>
      </w:r>
      <w:r>
        <w:instrText>HYPERLINK "https://www.samtec.com/about/location/global-distributors"</w:instrText>
      </w:r>
      <w:r>
        <w:rPr>
          <w:rStyle w:val="23"/>
          <w:rFonts w:ascii="Times New Roman" w:eastAsia="PMingLiU" w:hAnsi="Times New Roman" w:hint="eastAsia"/>
          <w:sz w:val="22"/>
        </w:rPr>
        <w:fldChar w:fldCharType="separate"/>
      </w:r>
      <w:r>
        <w:rPr>
          <w:rStyle w:val="23"/>
          <w:rFonts w:ascii="Times New Roman" w:eastAsia="PMingLiU" w:hAnsi="Times New Roman" w:hint="eastAsia"/>
          <w:sz w:val="22"/>
        </w:rPr>
        <w:t>獲授權分銷合作夥伴</w:t>
      </w:r>
      <w:r>
        <w:rPr>
          <w:rStyle w:val="23"/>
          <w:rFonts w:ascii="Times New Roman" w:eastAsia="PMingLiU" w:hAnsi="Times New Roman" w:hint="eastAsia"/>
          <w:sz w:val="22"/>
        </w:rPr>
        <w:fldChar w:fldCharType="end"/>
      </w:r>
      <w:r>
        <w:rPr>
          <w:rFonts w:ascii="Times New Roman" w:eastAsia="PMingLiU" w:hAnsi="Times New Roman" w:hint="eastAsia"/>
          <w:sz w:val="22"/>
        </w:rPr>
        <w:t>購買</w:t>
      </w:r>
      <w:r>
        <w:rPr>
          <w:rFonts w:ascii="Times New Roman" w:eastAsia="PMingLiU" w:hAnsi="Times New Roman" w:hint="eastAsia"/>
        </w:rPr>
        <w:t>。</w:t>
      </w:r>
      <w:r>
        <w:rPr>
          <w:rFonts w:ascii="Times New Roman" w:eastAsia="PMingLiU" w:hAnsi="Times New Roman" w:hint="eastAsia"/>
          <w:sz w:val="22"/>
        </w:rPr>
        <w:t xml:space="preserve"> </w:t>
      </w:r>
    </w:p>
    <w:p>
      <w:pPr>
        <w:rPr>
          <w:rFonts w:ascii="Times New Roman" w:eastAsia="PMingLiU" w:hAnsi="Times New Roman" w:hint="eastAsia"/>
          <w:sz w:val="22"/>
          <w:szCs w:val="22"/>
        </w:rPr>
      </w:pPr>
    </w:p>
    <w:p>
      <w:pPr>
        <w:rPr>
          <w:rFonts w:ascii="Times New Roman" w:eastAsia="PMingLiU" w:hAnsi="Times New Roman" w:hint="eastAsia"/>
          <w:sz w:val="22"/>
          <w:szCs w:val="22"/>
        </w:rPr>
      </w:pPr>
      <w:r>
        <w:rPr>
          <w:rFonts w:ascii="Times New Roman" w:eastAsia="PMingLiU" w:hAnsi="Times New Roman" w:hint="eastAsia"/>
          <w:sz w:val="22"/>
        </w:rPr>
        <w:t>-----------------------------</w:t>
      </w:r>
    </w:p>
    <w:p>
      <w:pPr>
        <w:outlineLvl w:val="0"/>
        <w:rPr>
          <w:rFonts w:ascii="Times New Roman" w:eastAsia="PMingLiU" w:cs="Calibri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>關於</w:t>
      </w:r>
      <w:r>
        <w:rPr>
          <w:rFonts w:ascii="Times New Roman" w:hAnsi="Times New Roman" w:hint="eastAsia"/>
          <w:b/>
          <w:sz w:val="22"/>
          <w:lang w:eastAsia="zh-CN"/>
        </w:rPr>
        <w:t xml:space="preserve"> </w:t>
      </w:r>
      <w:r>
        <w:rPr>
          <w:rFonts w:ascii="Times New Roman" w:eastAsia="PMingLiU" w:hAnsi="Times New Roman" w:hint="eastAsia"/>
          <w:b/>
          <w:sz w:val="22"/>
        </w:rPr>
        <w:t xml:space="preserve">Samtec, Inc. </w:t>
      </w:r>
    </w:p>
    <w:p>
      <w:pPr>
        <w:rPr>
          <w:rFonts w:ascii="Times New Roman" w:eastAsia="PMingLiU" w:cs="Calibri" w:hAnsi="Times New Roman" w:hint="eastAsia"/>
          <w:sz w:val="22"/>
          <w:szCs w:val="22"/>
          <w:shd w:val="clear" w:color="auto" w:fill="FFFFFF"/>
        </w:rPr>
      </w:pPr>
      <w:r>
        <w:rPr>
          <w:rFonts w:ascii="Times New Roman" w:eastAsia="PMingLiU" w:hAnsi="Times New Roman" w:hint="eastAsia"/>
          <w:color w:val="212121"/>
          <w:sz w:val="22"/>
        </w:rPr>
        <w:t>Samtec</w:t>
      </w:r>
      <w:r>
        <w:rPr>
          <w:rFonts w:ascii="Times New Roman" w:hAnsi="Times New Roman" w:hint="eastAsia"/>
          <w:color w:val="212121"/>
          <w:sz w:val="22"/>
          <w:lang w:eastAsia="zh-CN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是一家全球製造商，市值</w:t>
      </w:r>
      <w:r>
        <w:rPr>
          <w:rFonts w:ascii="Times New Roman" w:hAnsi="Times New Roman" w:hint="eastAsia"/>
          <w:color w:val="212121"/>
          <w:sz w:val="22"/>
          <w:lang w:eastAsia="zh-CN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10</w:t>
      </w:r>
      <w:r>
        <w:rPr>
          <w:rFonts w:ascii="Times New Roman" w:hAnsi="Times New Roman" w:hint="eastAsia"/>
          <w:color w:val="212121"/>
          <w:sz w:val="22"/>
          <w:lang w:eastAsia="zh-CN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億美元。該公司提供廣泛的電子互連解決方案，包括高速板對板、高速電纜、中板和面板光學器件、精密射頻、柔性堆疊以及微型/堅固元件和電纜。Samtec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在全球擁有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40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多個分支機搆，產品銷往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125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個國家，其業務遍及全球，能夠提供無與倫比的客戶服務。Samtec</w:t>
      </w:r>
      <w:r>
        <w:rPr>
          <w:rFonts w:ascii="Times New Roman" w:hAnsi="Times New Roman" w:hint="eastAsia"/>
          <w:color w:val="212121"/>
          <w:sz w:val="22"/>
          <w:lang w:eastAsia="zh-TW"/>
        </w:rPr>
        <w:t xml:space="preserve"> </w:t>
      </w:r>
      <w:r>
        <w:rPr>
          <w:rFonts w:ascii="Times New Roman" w:eastAsia="PMingLiU" w:hAnsi="Times New Roman" w:hint="eastAsia"/>
          <w:color w:val="212121"/>
          <w:sz w:val="22"/>
        </w:rPr>
        <w:t>為數據通訊、工業、軍事/航天、醫療、電腦、半導體、儀器儀表及汽車等產業提供新一代高質素互連解決方案。若要了解更多資訊，請訪問：</w:t>
      </w:r>
      <w:r>
        <w:rPr>
          <w:rStyle w:val="23"/>
          <w:rFonts w:ascii="Times New Roman" w:eastAsia="PMingLiU" w:hAnsi="Times New Roman" w:hint="eastAsia"/>
          <w:sz w:val="22"/>
          <w:shd w:val="clear" w:color="auto" w:fill="FFFFFF"/>
        </w:rPr>
        <w:fldChar w:fldCharType="begin"/>
      </w:r>
      <w:r>
        <w:instrText>HYPERLINK "http://www.samtec.com"</w:instrText>
      </w:r>
      <w:r>
        <w:rPr>
          <w:rStyle w:val="23"/>
          <w:rFonts w:ascii="Times New Roman" w:eastAsia="PMingLiU" w:hAnsi="Times New Roman" w:hint="eastAsia"/>
          <w:sz w:val="22"/>
          <w:shd w:val="clear" w:color="auto" w:fill="FFFFFF"/>
        </w:rPr>
        <w:fldChar w:fldCharType="separate"/>
      </w:r>
      <w:r>
        <w:rPr>
          <w:rStyle w:val="23"/>
          <w:rFonts w:ascii="Times New Roman" w:eastAsia="PMingLiU" w:hAnsi="Times New Roman" w:hint="eastAsia"/>
          <w:sz w:val="22"/>
          <w:shd w:val="clear" w:color="auto" w:fill="FFFFFF"/>
        </w:rPr>
        <w:t>http://www.samtec.com</w:t>
      </w:r>
      <w:r>
        <w:rPr>
          <w:rStyle w:val="23"/>
          <w:rFonts w:ascii="Times New Roman" w:eastAsia="PMingLiU" w:hAnsi="Times New Roman" w:hint="eastAsia"/>
          <w:sz w:val="22"/>
          <w:shd w:val="clear" w:color="auto" w:fill="FFFFFF"/>
        </w:rPr>
        <w:fldChar w:fldCharType="end"/>
      </w:r>
      <w:r>
        <w:rPr>
          <w:rFonts w:ascii="Times New Roman" w:eastAsia="PMingLiU" w:hAnsi="Times New Roman" w:hint="eastAsia"/>
          <w:sz w:val="22"/>
          <w:shd w:val="clear" w:color="auto" w:fill="FFFFFF"/>
        </w:rPr>
        <w:t xml:space="preserve">。 </w:t>
      </w:r>
    </w:p>
    <w:p>
      <w:pPr>
        <w:spacing w:after="20"/>
        <w:outlineLvl w:val="0"/>
        <w:rPr>
          <w:rFonts w:ascii="Times New Roman" w:eastAsia="PMingLiU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>Samtec, Inc.</w:t>
      </w:r>
    </w:p>
    <w:p>
      <w:pPr>
        <w:spacing w:after="20"/>
        <w:outlineLvl w:val="0"/>
        <w:rPr>
          <w:rFonts w:ascii="Times New Roman" w:eastAsia="PMingLiU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>P.O. Box 1147</w:t>
      </w:r>
    </w:p>
    <w:p>
      <w:pPr>
        <w:spacing w:after="20"/>
        <w:outlineLvl w:val="0"/>
        <w:rPr>
          <w:rFonts w:ascii="Times New Roman" w:eastAsia="PMingLiU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 xml:space="preserve">New Albany, IN 47151-1147 </w:t>
      </w:r>
    </w:p>
    <w:p>
      <w:pPr>
        <w:spacing w:after="20"/>
        <w:outlineLvl w:val="0"/>
        <w:rPr>
          <w:rFonts w:ascii="Times New Roman" w:eastAsia="PMingLiU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 xml:space="preserve">USA </w:t>
      </w:r>
    </w:p>
    <w:p>
      <w:pPr>
        <w:spacing w:after="20"/>
        <w:outlineLvl w:val="0"/>
        <w:rPr>
          <w:rStyle w:val="23"/>
          <w:rFonts w:ascii="Times New Roman" w:eastAsia="PMingLiU" w:hAnsi="Times New Roman" w:hint="eastAsia"/>
          <w:b/>
          <w:sz w:val="22"/>
          <w:szCs w:val="22"/>
        </w:rPr>
      </w:pPr>
      <w:r>
        <w:rPr>
          <w:rFonts w:ascii="Times New Roman" w:eastAsia="PMingLiU" w:hAnsi="Times New Roman" w:hint="eastAsia"/>
          <w:b/>
          <w:sz w:val="22"/>
        </w:rPr>
        <w:t>電話：1-800-SAMTEC-9 (800-726-8329)</w:t>
      </w:r>
    </w:p>
    <w:p>
      <w:pPr>
        <w:spacing w:after="20"/>
        <w:rPr>
          <w:rFonts w:ascii="Times New Roman" w:eastAsia="PMingLiU" w:hAnsi="Times New Roman" w:hint="eastAsia"/>
          <w:color w:val="000000"/>
          <w:sz w:val="22"/>
          <w:szCs w:val="22"/>
        </w:rPr>
      </w:pPr>
    </w:p>
    <w:p>
      <w:pPr>
        <w:rPr>
          <w:rFonts w:ascii="Times New Roman" w:eastAsia="PMingLiU" w:hAnsi="Times New Roman" w:hint="eastAsia"/>
        </w:rPr>
      </w:pPr>
    </w:p>
    <w:sectPr>
      <w:pgSz w:w="12240" w:h="15840"/>
      <w:pgMar w:top="1008" w:right="1440" w:bottom="1008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Droid San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8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Aptos" w:eastAsia="等线" w:cs="Arial" w:hAnsi="Aptos"/>
      <w:kern w:val="2"/>
      <w:sz w:val="24"/>
      <w:szCs w:val="24"/>
      <w:lang w:val="en-US" w:eastAsia="zh-HK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Aptos Display" w:eastAsia="等线 Light" w:cs="Times New Roman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ptos Display" w:eastAsia="等线 Light" w:cs="Times New Roman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Times New Roman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paragraph" w:styleId="22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</w:rPr>
  </w:style>
  <w:style w:type="character" w:styleId="23">
    <w:name w:val="Hyperlink"/>
    <w:basedOn w:val="10"/>
    <w:rPr>
      <w:color w:val="0000FF"/>
      <w:u w:val="single"/>
    </w:rPr>
  </w:style>
  <w:style w:type="character" w:styleId="24">
    <w:name w:val="Emphasis"/>
    <w:basedOn w:val="10"/>
    <w:rPr>
      <w:i/>
      <w:iCs/>
    </w:rPr>
  </w:style>
  <w:style w:type="character" w:customStyle="1" w:styleId="25">
    <w:name w:val="Unresolved Mention"/>
    <w:basedOn w:val="10"/>
    <w:rPr>
      <w:color w:val="605E5C"/>
      <w:shd w:val="clear" w:color="auto" w:fill="E1DFDD"/>
    </w:rPr>
  </w:style>
  <w:style w:type="character" w:styleId="26">
    <w:name w:val="FollowedHyperlink"/>
    <w:basedOn w:val="10"/>
    <w:rPr>
      <w:color w:val="96607D"/>
      <w:u w:val="single"/>
    </w:rPr>
  </w:style>
  <w:style w:type="character" w:styleId="27">
    <w:name w:val="annotation reference"/>
    <w:basedOn w:val="10"/>
    <w:rPr>
      <w:sz w:val="16"/>
      <w:szCs w:val="16"/>
    </w:rPr>
  </w:style>
  <w:style w:type="paragraph" w:styleId="28">
    <w:name w:val="annotation text"/>
    <w:basedOn w:val="0"/>
    <w:pPr>
      <w:spacing w:line="240" w:lineRule="auto"/>
    </w:pPr>
    <w:rPr>
      <w:sz w:val="20"/>
      <w:szCs w:val="20"/>
    </w:rPr>
  </w:style>
  <w:style w:type="paragraph" w:styleId="29">
    <w:name w:val="annotation subject"/>
    <w:basedOn w:val="28"/>
    <w:next w:val="28"/>
    <w:rPr>
      <w:b/>
      <w:bCs/>
    </w:rPr>
  </w:style>
  <w:style w:type="paragraph" w:customStyle="1" w:styleId="30">
    <w:name w:val="Revision"/>
    <w:pPr>
      <w:spacing w:after="0" w:line="240" w:lineRule="auto"/>
    </w:pPr>
    <w:rPr>
      <w:rFonts w:ascii="Aptos" w:eastAsia="等线" w:cs="Arial" w:hAnsi="Aptos"/>
      <w:kern w:val="2"/>
      <w:sz w:val="24"/>
      <w:szCs w:val="24"/>
      <w:lang w:val="en-US" w:eastAsia="zh-HK" w:bidi="ar-SA"/>
    </w:rPr>
  </w:style>
  <w:style w:type="character" w:customStyle="1" w:styleId="31">
    <w:name w:val="normaltextrun"/>
    <w:basedOn w:val="10"/>
  </w:style>
  <w:style w:type="character" w:customStyle="1" w:styleId="32">
    <w:name w:val="eop"/>
    <w:basedOn w:val="10"/>
  </w:style>
  <w:style w:type="paragraph" w:styleId="33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4">
    <w:name w:val="footer"/>
    <w:basedOn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jp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</TotalTime>
  <Application>Honor_Office</Application>
  <Pages>2</Pages>
  <Words>750</Words>
  <Characters>1060</Characters>
  <Lines>43</Lines>
  <Paragraphs>17</Paragraphs>
  <CharactersWithSpaces>1135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Laura Kachnavage</dc:creator>
  <cp:lastModifiedBy>HONOR Docs</cp:lastModifiedBy>
  <cp:revision>10</cp:revision>
  <dcterms:created xsi:type="dcterms:W3CDTF">2026-03-30T21:34:00Z</dcterms:created>
  <dcterms:modified xsi:type="dcterms:W3CDTF">2026-04-16T14:09:41Z</dcterms:modified>
</cp:coreProperties>
</file>