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B4239" w14:textId="27E6FC50" w:rsidR="00361A6D" w:rsidRDefault="00A054F2" w:rsidP="00361A6D">
      <w:pPr>
        <w:spacing w:after="0" w:line="240" w:lineRule="auto"/>
      </w:pPr>
      <w:r>
        <w:rPr>
          <w:noProof/>
        </w:rPr>
        <w:drawing>
          <wp:inline distT="0" distB="0" distL="0" distR="0" wp14:anchorId="0B0E3A76" wp14:editId="57A0D52F">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2069" cy="546018"/>
                    </a:xfrm>
                    <a:prstGeom prst="rect">
                      <a:avLst/>
                    </a:prstGeom>
                    <a:noFill/>
                    <a:ln>
                      <a:noFill/>
                    </a:ln>
                  </pic:spPr>
                </pic:pic>
              </a:graphicData>
            </a:graphic>
          </wp:inline>
        </w:drawing>
      </w:r>
    </w:p>
    <w:p w14:paraId="7C4DB153" w14:textId="77777777" w:rsidR="00A054F2" w:rsidRDefault="00A054F2" w:rsidP="00361A6D">
      <w:pPr>
        <w:spacing w:after="0" w:line="240" w:lineRule="auto"/>
      </w:pPr>
    </w:p>
    <w:p w14:paraId="0AD54383" w14:textId="6FE1AAD2" w:rsidR="008B763A" w:rsidRPr="005D6A3A" w:rsidRDefault="001B6784" w:rsidP="00361A6D">
      <w:pPr>
        <w:spacing w:after="0" w:line="240" w:lineRule="auto"/>
        <w:rPr>
          <w:b/>
          <w:bCs/>
        </w:rPr>
      </w:pPr>
      <w:r>
        <w:rPr>
          <w:b/>
        </w:rPr>
        <w:t>ZUR SOFORTIGEN VERÖFFENTLICHUNG</w:t>
      </w:r>
    </w:p>
    <w:p w14:paraId="7AC4FE5C" w14:textId="77777777" w:rsidR="001B6784" w:rsidRDefault="001B6784" w:rsidP="00361A6D">
      <w:pPr>
        <w:spacing w:after="0" w:line="240" w:lineRule="auto"/>
      </w:pPr>
    </w:p>
    <w:p w14:paraId="6639D314" w14:textId="77777777" w:rsidR="00145EC3" w:rsidRDefault="00145EC3" w:rsidP="00361A6D">
      <w:pPr>
        <w:spacing w:after="0" w:line="240" w:lineRule="auto"/>
      </w:pPr>
    </w:p>
    <w:p w14:paraId="79A68F95" w14:textId="7A35C82F" w:rsidR="00361A6D" w:rsidRPr="00F130E7" w:rsidRDefault="00361A6D" w:rsidP="00363B85">
      <w:pPr>
        <w:spacing w:after="0" w:line="240" w:lineRule="auto"/>
        <w:jc w:val="center"/>
        <w:rPr>
          <w:b/>
          <w:bCs/>
          <w:sz w:val="32"/>
          <w:szCs w:val="32"/>
        </w:rPr>
      </w:pPr>
      <w:r>
        <w:rPr>
          <w:b/>
          <w:sz w:val="32"/>
        </w:rPr>
        <w:t xml:space="preserve">Samtec mit Flex </w:t>
      </w:r>
      <w:proofErr w:type="spellStart"/>
      <w:r>
        <w:rPr>
          <w:b/>
          <w:sz w:val="32"/>
        </w:rPr>
        <w:t>Sustainability</w:t>
      </w:r>
      <w:proofErr w:type="spellEnd"/>
      <w:r>
        <w:rPr>
          <w:b/>
          <w:sz w:val="32"/>
        </w:rPr>
        <w:t xml:space="preserve"> Award ausgezeichnet</w:t>
      </w:r>
    </w:p>
    <w:p w14:paraId="51B76DB1" w14:textId="77777777" w:rsidR="00A054F2" w:rsidRDefault="00A054F2" w:rsidP="00361A6D">
      <w:pPr>
        <w:spacing w:after="0" w:line="240" w:lineRule="auto"/>
      </w:pPr>
    </w:p>
    <w:p w14:paraId="5C9749D0" w14:textId="399F047F" w:rsidR="00361A6D" w:rsidRDefault="00145EC3" w:rsidP="00361A6D">
      <w:pPr>
        <w:spacing w:after="0" w:line="240" w:lineRule="auto"/>
      </w:pPr>
      <w:r>
        <w:rPr>
          <w:b/>
        </w:rPr>
        <w:t>Juli 2026, New Albany, Indiana (USA)</w:t>
      </w:r>
      <w:r>
        <w:t xml:space="preserve"> – Samtec, Inc., der Anbieter mit führendem Service in der </w:t>
      </w:r>
      <w:proofErr w:type="spellStart"/>
      <w:r>
        <w:t>Steckverbinderbranche</w:t>
      </w:r>
      <w:proofErr w:type="spellEnd"/>
      <w:r>
        <w:t xml:space="preserve">, hat den 2025 Flex </w:t>
      </w:r>
      <w:proofErr w:type="spellStart"/>
      <w:r>
        <w:t>Sustainability</w:t>
      </w:r>
      <w:proofErr w:type="spellEnd"/>
      <w:r>
        <w:t xml:space="preserve"> Award für den ersten Platz in der Kategorie Zielerreichung</w:t>
      </w:r>
      <w:r w:rsidR="006D5373">
        <w:t xml:space="preserve"> im Bereich</w:t>
      </w:r>
      <w:r>
        <w:t xml:space="preserve"> </w:t>
      </w:r>
      <w:r w:rsidR="006C37EB">
        <w:t>Erneuerbare</w:t>
      </w:r>
      <w:r>
        <w:t xml:space="preserve"> Energien (</w:t>
      </w:r>
      <w:proofErr w:type="spellStart"/>
      <w:r>
        <w:t>Achieved</w:t>
      </w:r>
      <w:proofErr w:type="spellEnd"/>
      <w:r>
        <w:t xml:space="preserve"> </w:t>
      </w:r>
      <w:proofErr w:type="spellStart"/>
      <w:r>
        <w:t>Renewable</w:t>
      </w:r>
      <w:proofErr w:type="spellEnd"/>
      <w:r>
        <w:t xml:space="preserve"> Energy Target) erhalten.</w:t>
      </w:r>
    </w:p>
    <w:p w14:paraId="3879A79D" w14:textId="77777777" w:rsidR="00A054F2" w:rsidRDefault="00A054F2" w:rsidP="00361A6D">
      <w:pPr>
        <w:spacing w:after="0" w:line="240" w:lineRule="auto"/>
      </w:pPr>
    </w:p>
    <w:p w14:paraId="32F7890E" w14:textId="247C5860" w:rsidR="00361A6D" w:rsidRDefault="00361A6D" w:rsidP="00361A6D">
      <w:pPr>
        <w:spacing w:after="0" w:line="240" w:lineRule="auto"/>
      </w:pPr>
      <w:r>
        <w:t>Flex zeichnet als Anbieter globaler Fertigungs- und Lieferkettenlösungen diejenigen internationalen Top-Hersteller aus, die einen herausragenden Einsatz und messbare Fortschritte bei der Verbesserung der Umweltverträglichkeit und Nachhaltigkeit der Lieferkette gezeigt haben.</w:t>
      </w:r>
    </w:p>
    <w:p w14:paraId="1BDF3FCB" w14:textId="77777777" w:rsidR="00A054F2" w:rsidRDefault="00A054F2" w:rsidP="00361A6D">
      <w:pPr>
        <w:spacing w:after="0" w:line="240" w:lineRule="auto"/>
      </w:pPr>
    </w:p>
    <w:p w14:paraId="5D51A56B" w14:textId="34ADFE76" w:rsidR="00361A6D" w:rsidRDefault="00361A6D" w:rsidP="00361A6D">
      <w:pPr>
        <w:spacing w:after="0" w:line="240" w:lineRule="auto"/>
      </w:pPr>
      <w:r>
        <w:t xml:space="preserve">Samtec hat den Flex </w:t>
      </w:r>
      <w:proofErr w:type="spellStart"/>
      <w:r>
        <w:t>Sustainability</w:t>
      </w:r>
      <w:proofErr w:type="spellEnd"/>
      <w:r>
        <w:t xml:space="preserve"> Award in der Kategorie </w:t>
      </w:r>
      <w:proofErr w:type="spellStart"/>
      <w:r>
        <w:t>Renewable</w:t>
      </w:r>
      <w:proofErr w:type="spellEnd"/>
      <w:r>
        <w:t xml:space="preserve"> Energy für sein </w:t>
      </w:r>
      <w:r w:rsidR="006C37EB">
        <w:t>Engagement</w:t>
      </w:r>
      <w:r>
        <w:t xml:space="preserve"> im Hinblick auf die fortlaufende Verbesserung der Nachhaltigkeit und Senkung der Emissionen erhalten – sämtliche Umweltziele für 2025 wurden erreicht und übertroffen. Dazu Mac Miller, der Compliance Manager bei Samtec: „Wir sind sehr erfreut darüber, den diesjährigen Flex </w:t>
      </w:r>
      <w:proofErr w:type="spellStart"/>
      <w:r>
        <w:t>Sustainability</w:t>
      </w:r>
      <w:proofErr w:type="spellEnd"/>
      <w:r>
        <w:t xml:space="preserve"> Award in Anerkennung der gemeinsamen Anstrengungen des Samtec </w:t>
      </w:r>
      <w:proofErr w:type="spellStart"/>
      <w:r>
        <w:t>Sustainability</w:t>
      </w:r>
      <w:proofErr w:type="spellEnd"/>
      <w:r>
        <w:t xml:space="preserve"> Teams und der Teams der jeweiligen Werke und Einrichtungen erhalten zu haben. Mit vereinten Kräften haben sie die Umweltziele erfolgreich, glaubhaft und wirksam an all den Standorten umgesetzt, an denen Samtec tätig ist.“ </w:t>
      </w:r>
    </w:p>
    <w:p w14:paraId="19246857" w14:textId="77777777" w:rsidR="00A054F2" w:rsidRDefault="00A054F2" w:rsidP="00361A6D">
      <w:pPr>
        <w:spacing w:after="0" w:line="240" w:lineRule="auto"/>
      </w:pPr>
    </w:p>
    <w:p w14:paraId="2043D0B7" w14:textId="3983019A" w:rsidR="00361A6D" w:rsidRDefault="00361A6D" w:rsidP="00361A6D">
      <w:pPr>
        <w:spacing w:after="0" w:line="240" w:lineRule="auto"/>
      </w:pPr>
      <w:r>
        <w:t xml:space="preserve">Flex </w:t>
      </w:r>
      <w:r w:rsidR="008D1E2A">
        <w:rPr>
          <w:kern w:val="0"/>
          <w14:ligatures w14:val="none"/>
        </w:rPr>
        <w:t xml:space="preserve">wurde von der Ford Motor Company als 2025 </w:t>
      </w:r>
      <w:proofErr w:type="spellStart"/>
      <w:r w:rsidR="008D1E2A">
        <w:rPr>
          <w:kern w:val="0"/>
          <w14:ligatures w14:val="none"/>
        </w:rPr>
        <w:t>Sustainability</w:t>
      </w:r>
      <w:proofErr w:type="spellEnd"/>
      <w:r w:rsidR="008D1E2A">
        <w:rPr>
          <w:kern w:val="0"/>
          <w14:ligatures w14:val="none"/>
        </w:rPr>
        <w:t xml:space="preserve"> Supplier of the Year ausgezeichnet, und </w:t>
      </w:r>
      <w:proofErr w:type="spellStart"/>
      <w:r w:rsidR="008D1E2A">
        <w:rPr>
          <w:kern w:val="0"/>
          <w14:ligatures w14:val="none"/>
        </w:rPr>
        <w:t>EcoVadis</w:t>
      </w:r>
      <w:proofErr w:type="spellEnd"/>
      <w:r w:rsidR="008D1E2A">
        <w:rPr>
          <w:kern w:val="0"/>
          <w14:ligatures w14:val="none"/>
        </w:rPr>
        <w:t xml:space="preserve"> verlieh dem Unternehmen eine Gold-Bewertung.</w:t>
      </w:r>
      <w:r>
        <w:t xml:space="preserve"> </w:t>
      </w:r>
      <w:proofErr w:type="spellStart"/>
      <w:r>
        <w:t>EcoVadis</w:t>
      </w:r>
      <w:proofErr w:type="spellEnd"/>
      <w:r>
        <w:t xml:space="preserve"> ist eine </w:t>
      </w:r>
      <w:r w:rsidR="006C37EB">
        <w:t>global</w:t>
      </w:r>
      <w:r>
        <w:t xml:space="preserve"> anerkannte Rating-Plattform für Nachhaltigkeit und ESG (Environmental, </w:t>
      </w:r>
      <w:proofErr w:type="spellStart"/>
      <w:r>
        <w:t>Social</w:t>
      </w:r>
      <w:proofErr w:type="spellEnd"/>
      <w:r>
        <w:t xml:space="preserve">, and </w:t>
      </w:r>
      <w:proofErr w:type="spellStart"/>
      <w:r>
        <w:t>Governance</w:t>
      </w:r>
      <w:proofErr w:type="spellEnd"/>
      <w:r>
        <w:t>), die bewertet, wie gut ein Unternehmen die Nachhaltigkeit in seine Betriebsabläufe und das Lieferkettenmanagement integriert.</w:t>
      </w:r>
    </w:p>
    <w:p w14:paraId="001F56E7" w14:textId="77777777" w:rsidR="00A054F2" w:rsidRDefault="00A054F2" w:rsidP="00361A6D">
      <w:pPr>
        <w:spacing w:after="0" w:line="240" w:lineRule="auto"/>
      </w:pPr>
    </w:p>
    <w:p w14:paraId="64AAC3F6" w14:textId="0CF9BAC0" w:rsidR="00361A6D" w:rsidRPr="00A054F2" w:rsidRDefault="006D5373" w:rsidP="00361A6D">
      <w:pPr>
        <w:spacing w:after="0" w:line="240" w:lineRule="auto"/>
        <w:rPr>
          <w:b/>
          <w:bCs/>
        </w:rPr>
      </w:pPr>
      <w:r>
        <w:rPr>
          <w:b/>
        </w:rPr>
        <w:t>Die</w:t>
      </w:r>
      <w:r w:rsidR="00361A6D">
        <w:rPr>
          <w:b/>
        </w:rPr>
        <w:t xml:space="preserve"> Nachhaltigkeitsleistung</w:t>
      </w:r>
      <w:r>
        <w:rPr>
          <w:b/>
        </w:rPr>
        <w:t xml:space="preserve"> von Samtec</w:t>
      </w:r>
    </w:p>
    <w:p w14:paraId="6625EA77" w14:textId="77777777" w:rsidR="00A054F2" w:rsidRDefault="00A054F2" w:rsidP="00361A6D">
      <w:pPr>
        <w:spacing w:after="0" w:line="240" w:lineRule="auto"/>
      </w:pPr>
    </w:p>
    <w:p w14:paraId="062C9926" w14:textId="21746DF9" w:rsidR="00361A6D" w:rsidRDefault="00361A6D" w:rsidP="00361A6D">
      <w:pPr>
        <w:spacing w:after="0" w:line="240" w:lineRule="auto"/>
      </w:pPr>
      <w:r>
        <w:t xml:space="preserve">Die Leistungen von Samtec im Bereich Nachhaltigkeit spiegeln die </w:t>
      </w:r>
      <w:r w:rsidR="006D5373">
        <w:t>Gesamtw</w:t>
      </w:r>
      <w:r>
        <w:t xml:space="preserve">irkung aus zielgerichteten Initiativen zur Energieeinsparung, dem vermehrten Einsatz emissionsärmerer Energiequellen und den </w:t>
      </w:r>
      <w:r w:rsidR="006D5373">
        <w:t xml:space="preserve">umgesetzten </w:t>
      </w:r>
      <w:r>
        <w:t>Wassersparmaßnahmen</w:t>
      </w:r>
      <w:r w:rsidR="006D5373" w:rsidRPr="006D5373">
        <w:t xml:space="preserve"> </w:t>
      </w:r>
      <w:r w:rsidR="006D5373">
        <w:t>wider</w:t>
      </w:r>
      <w:r>
        <w:t>.</w:t>
      </w:r>
    </w:p>
    <w:p w14:paraId="0C40E010" w14:textId="77777777" w:rsidR="00D324FD" w:rsidRDefault="00D324FD" w:rsidP="00361A6D">
      <w:pPr>
        <w:spacing w:after="0" w:line="240" w:lineRule="auto"/>
      </w:pPr>
    </w:p>
    <w:p w14:paraId="77FC060B" w14:textId="37D85A5F" w:rsidR="00361A6D" w:rsidRDefault="00361A6D" w:rsidP="00361A6D">
      <w:pPr>
        <w:spacing w:after="0" w:line="240" w:lineRule="auto"/>
      </w:pPr>
      <w:r>
        <w:t xml:space="preserve">So konnte Samtec zum Beispiel </w:t>
      </w:r>
      <w:r w:rsidR="008D1E2A" w:rsidRPr="008D1E2A">
        <w:t>die Intensität seiner Emissionen der Kategorien (Scopes) 1 und 2</w:t>
      </w:r>
      <w:r w:rsidR="008D1E2A">
        <w:t xml:space="preserve"> </w:t>
      </w:r>
      <w:r>
        <w:t xml:space="preserve">im Vergleich zum Wert von 2019 um 25,3 Prozent senken. Scope-1-Emissionen sind </w:t>
      </w:r>
      <w:r>
        <w:lastRenderedPageBreak/>
        <w:t xml:space="preserve">Treibhausgase, die direkt am Standort aus der Nutzung eigener oder von der Organisation kontrollierter Energiequellen entstehen. Scope-2-Emissionen sind Treibhausgase, die bei der Erzeugung von eingekauftem Strom, Dampf sowie Fernwärme oder -kälte tatsächlich an der erzeugenden Einrichtung entstehen. Samtec hat ebenfalls </w:t>
      </w:r>
      <w:r w:rsidR="008D1E2A" w:rsidRPr="008D1E2A">
        <w:t>Emissionsschätzungen</w:t>
      </w:r>
      <w:r>
        <w:t xml:space="preserve"> für verschiedene weitere Kategorien aufgestellt, anhand derer Bezugswerte festgelegt und Möglichkeiten für zukünftige Minderungen in Zusammenarbeit mit Partnern und Lieferanten ermittelt werden können.</w:t>
      </w:r>
    </w:p>
    <w:p w14:paraId="1A80B987" w14:textId="77777777" w:rsidR="00361A6D" w:rsidRDefault="00361A6D" w:rsidP="00361A6D">
      <w:pPr>
        <w:spacing w:after="0" w:line="240" w:lineRule="auto"/>
      </w:pPr>
    </w:p>
    <w:p w14:paraId="575A2850" w14:textId="2379E289" w:rsidR="00361A6D" w:rsidRDefault="00361A6D" w:rsidP="00361A6D">
      <w:pPr>
        <w:spacing w:after="0" w:line="240" w:lineRule="auto"/>
      </w:pPr>
      <w:r>
        <w:t xml:space="preserve">Darüber hinaus konnte Samtec </w:t>
      </w:r>
      <w:proofErr w:type="gramStart"/>
      <w:r>
        <w:t>in 2025</w:t>
      </w:r>
      <w:proofErr w:type="gramEnd"/>
      <w:r>
        <w:t xml:space="preserve"> sein Ziel für Erneuerbare Energien übertreffen, weil der Anteil der Erneuerbaren im globalen Energieportfolio des Unternehmens auf 21,5 Prozent gesteigert wurde. Dieser Fortschritt beruhte auf erweiterten Ökostrom-Vereinbarungen, der strategischen Beschaffung von Zertifikaten für </w:t>
      </w:r>
      <w:r w:rsidR="008660B7">
        <w:t>E</w:t>
      </w:r>
      <w:r>
        <w:t>rneuerbare Energien (</w:t>
      </w:r>
      <w:proofErr w:type="spellStart"/>
      <w:r>
        <w:t>Renewable</w:t>
      </w:r>
      <w:proofErr w:type="spellEnd"/>
      <w:r>
        <w:t xml:space="preserve"> Energy </w:t>
      </w:r>
      <w:proofErr w:type="spellStart"/>
      <w:r>
        <w:t>Certificates</w:t>
      </w:r>
      <w:proofErr w:type="spellEnd"/>
      <w:r>
        <w:t xml:space="preserve">, RECs) und dem Vorantreiben von Erneuerbaren-Projekten am Standort. Mit der kürzlich installierten Photovoltaikanlage am Samtec-Standort </w:t>
      </w:r>
      <w:r w:rsidR="008D1E2A">
        <w:t>in</w:t>
      </w:r>
      <w:r>
        <w:t xml:space="preserve"> Costa Rica werden sich in etwa 28 Prozent des jährlichen Gesamtenergiebedarfs decken lassen.</w:t>
      </w:r>
    </w:p>
    <w:p w14:paraId="05E42AC1" w14:textId="77777777" w:rsidR="00EE45AB" w:rsidRDefault="00EE45AB" w:rsidP="00361A6D">
      <w:pPr>
        <w:spacing w:after="0" w:line="240" w:lineRule="auto"/>
      </w:pPr>
    </w:p>
    <w:p w14:paraId="71752556" w14:textId="6665B497" w:rsidR="00361A6D" w:rsidRDefault="00361A6D" w:rsidP="00361A6D">
      <w:pPr>
        <w:spacing w:after="0" w:line="240" w:lineRule="auto"/>
      </w:pPr>
      <w:r>
        <w:t>Samtec hat 2025 bedeutende Fortschritte bei der Optimierung des Wasserverbrauchs gemacht, insbesondere bei so wasserintensiven Prozessen wie dem Galvanisieren. In der Firmenzentrale in New Albany, Indiana, wurde eine neue Abwasseraufbereitungsanlage in Betrieb genommen. Dies hat wesentlich dazu beigetragen, eine Wasserwiederaufbereitungsquote von 20 Prozent über alle globalen Produktionsstätten hinweg erreichen zu können.</w:t>
      </w:r>
    </w:p>
    <w:p w14:paraId="4992E9A7" w14:textId="77777777" w:rsidR="00361A6D" w:rsidRDefault="00361A6D" w:rsidP="00361A6D">
      <w:pPr>
        <w:spacing w:after="0" w:line="240" w:lineRule="auto"/>
      </w:pPr>
    </w:p>
    <w:p w14:paraId="4599E16B" w14:textId="77777777" w:rsidR="004B337C" w:rsidRPr="004B337C" w:rsidRDefault="004B337C" w:rsidP="004B337C">
      <w:pPr>
        <w:spacing w:after="0" w:line="240" w:lineRule="auto"/>
      </w:pPr>
      <w:r>
        <w:rPr>
          <w:b/>
        </w:rPr>
        <w:t>Über Samtec</w:t>
      </w:r>
    </w:p>
    <w:p w14:paraId="0BC7191D" w14:textId="77777777" w:rsidR="004B337C" w:rsidRDefault="004B337C" w:rsidP="004B337C">
      <w:pPr>
        <w:spacing w:after="0" w:line="240" w:lineRule="auto"/>
      </w:pPr>
    </w:p>
    <w:p w14:paraId="3B69A927" w14:textId="6071E0BA" w:rsidR="004B337C" w:rsidRDefault="004B337C" w:rsidP="004B337C">
      <w:pPr>
        <w:spacing w:after="0" w:line="240" w:lineRule="auto"/>
      </w:pPr>
      <w:r>
        <w:t xml:space="preserve">Das Unternehmen Samtec mit einem Jahresumsatz </w:t>
      </w:r>
      <w:proofErr w:type="gramStart"/>
      <w:r>
        <w:t>von einer Milliarde</w:t>
      </w:r>
      <w:proofErr w:type="gramEnd"/>
      <w:r>
        <w:t xml:space="preserve"> US-Dollar ist ein weltweit tätiger Hersteller einer breit gefächerten Palette elektronischer Verbindungslösungen. Dazu gehören Hochgeschwindigkeits-B2B-Steckverbinder und -kabel, optische Mid-Board- und Panel-Einheiten, Verbinder mit flexibler Steckhöhe, robuste Bauelemente und Kabel im Mikroformat sowie präzise HF-Technik. Die globale Präsenz von Samtec an über 40 internationalen Standorten mit einem Produktverkauf in mehr als 125 Ländern macht den unerreichten Kundendienst des Unternehmens möglich. Samtec stellt hochwertige Verbindungslösungen der kommenden Generation u. a. für diese Branchen bereit: Datenübertragung, Telekommunikation, Computer, Halbleiter, Medizin, Industrie, Automotive und Leittechnik. Weiterführende Informationen finden Sie auf </w:t>
      </w:r>
      <w:hyperlink r:id="rId5" w:tgtFrame="_blank" w:history="1">
        <w:r>
          <w:rPr>
            <w:rStyle w:val="Hyperlink"/>
            <w:color w:val="0070C0"/>
          </w:rPr>
          <w:t>www.samtec.com</w:t>
        </w:r>
      </w:hyperlink>
      <w:r>
        <w:t>.</w:t>
      </w:r>
    </w:p>
    <w:p w14:paraId="5C275DC0" w14:textId="77777777" w:rsidR="004B337C" w:rsidRPr="004B337C" w:rsidRDefault="004B337C" w:rsidP="004B337C">
      <w:pPr>
        <w:spacing w:after="0" w:line="240" w:lineRule="auto"/>
      </w:pPr>
    </w:p>
    <w:p w14:paraId="5F8B0A7E" w14:textId="1150DC67" w:rsidR="004B337C" w:rsidRPr="004B337C" w:rsidRDefault="004B337C" w:rsidP="004B337C">
      <w:pPr>
        <w:spacing w:after="0" w:line="240" w:lineRule="auto"/>
      </w:pPr>
      <w:r>
        <w:rPr>
          <w:b/>
        </w:rPr>
        <w:t>Samtec, Inc.</w:t>
      </w:r>
      <w:r>
        <w:rPr>
          <w:b/>
        </w:rPr>
        <w:br/>
        <w:t>P.O. Box 1147</w:t>
      </w:r>
      <w:r>
        <w:rPr>
          <w:b/>
        </w:rPr>
        <w:br/>
        <w:t>New Albany, IN 47151-1147</w:t>
      </w:r>
      <w:r>
        <w:rPr>
          <w:b/>
        </w:rPr>
        <w:br/>
        <w:t>USA</w:t>
      </w:r>
      <w:r>
        <w:rPr>
          <w:b/>
        </w:rPr>
        <w:br/>
        <w:t>Telefon: +001 812-944-6733</w:t>
      </w:r>
      <w:r>
        <w:br/>
      </w:r>
      <w:hyperlink r:id="rId6" w:tgtFrame="_blank" w:history="1">
        <w:r>
          <w:rPr>
            <w:rStyle w:val="Hyperlink"/>
            <w:b/>
            <w:color w:val="0070C0"/>
          </w:rPr>
          <w:t>www.samtec.com/media-room</w:t>
        </w:r>
      </w:hyperlink>
    </w:p>
    <w:p w14:paraId="2F7F5915" w14:textId="77777777" w:rsidR="00DB08A4" w:rsidRDefault="00DB08A4" w:rsidP="004B337C">
      <w:pPr>
        <w:spacing w:after="0" w:line="240" w:lineRule="auto"/>
      </w:pPr>
    </w:p>
    <w:p w14:paraId="741E6EFE" w14:textId="347CB6D8" w:rsidR="004B337C" w:rsidRPr="004B337C" w:rsidRDefault="004B337C" w:rsidP="004B337C">
      <w:pPr>
        <w:spacing w:after="0" w:line="240" w:lineRule="auto"/>
      </w:pPr>
      <w:r>
        <w:t xml:space="preserve">Für Medienschaffende auf der ganzen Welt stellt unser Presseteam sehr gerne spannende und innovative Storys zur Verfügung. Sollten Sie ein Mitglied der Medien bzw. Presse sein und ein Gespräch mit uns wünschen, dann senden Sie bitte eine E-Mail an </w:t>
      </w:r>
      <w:hyperlink r:id="rId7" w:tgtFrame="_blank" w:history="1">
        <w:r>
          <w:rPr>
            <w:rStyle w:val="Hyperlink"/>
            <w:color w:val="0070C0"/>
          </w:rPr>
          <w:t>mediaroom@samtec.com</w:t>
        </w:r>
      </w:hyperlink>
      <w:r>
        <w:t>.</w:t>
      </w:r>
    </w:p>
    <w:p w14:paraId="26C5F1D1" w14:textId="77777777" w:rsidR="00361A6D" w:rsidRDefault="00361A6D" w:rsidP="00361A6D">
      <w:pPr>
        <w:spacing w:after="0" w:line="240" w:lineRule="auto"/>
      </w:pPr>
    </w:p>
    <w:p w14:paraId="693D27E9" w14:textId="77777777" w:rsidR="00361A6D" w:rsidRDefault="00361A6D" w:rsidP="00361A6D">
      <w:pPr>
        <w:spacing w:after="0" w:line="240" w:lineRule="auto"/>
      </w:pPr>
    </w:p>
    <w:sectPr w:rsidR="00361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D5E9A"/>
    <w:rsid w:val="00145EC3"/>
    <w:rsid w:val="00166673"/>
    <w:rsid w:val="001B6784"/>
    <w:rsid w:val="00293C78"/>
    <w:rsid w:val="00361A6D"/>
    <w:rsid w:val="00363B85"/>
    <w:rsid w:val="003E19C6"/>
    <w:rsid w:val="004A7DDE"/>
    <w:rsid w:val="004B337C"/>
    <w:rsid w:val="004F0230"/>
    <w:rsid w:val="0052256A"/>
    <w:rsid w:val="005C0246"/>
    <w:rsid w:val="005D6A3A"/>
    <w:rsid w:val="006135F0"/>
    <w:rsid w:val="006354D8"/>
    <w:rsid w:val="00665643"/>
    <w:rsid w:val="006C37EB"/>
    <w:rsid w:val="006D5373"/>
    <w:rsid w:val="007D0222"/>
    <w:rsid w:val="007D2A34"/>
    <w:rsid w:val="00853994"/>
    <w:rsid w:val="008660B7"/>
    <w:rsid w:val="00874495"/>
    <w:rsid w:val="008B763A"/>
    <w:rsid w:val="008D1E2A"/>
    <w:rsid w:val="008F04BC"/>
    <w:rsid w:val="009439C0"/>
    <w:rsid w:val="009A443B"/>
    <w:rsid w:val="00A02D1F"/>
    <w:rsid w:val="00A03C4C"/>
    <w:rsid w:val="00A054F2"/>
    <w:rsid w:val="00A46DC4"/>
    <w:rsid w:val="00A60D19"/>
    <w:rsid w:val="00AD2223"/>
    <w:rsid w:val="00B41088"/>
    <w:rsid w:val="00B614A3"/>
    <w:rsid w:val="00BA1C07"/>
    <w:rsid w:val="00BB26D9"/>
    <w:rsid w:val="00CA3D55"/>
    <w:rsid w:val="00D324FD"/>
    <w:rsid w:val="00D37285"/>
    <w:rsid w:val="00DB08A4"/>
    <w:rsid w:val="00DE2AA6"/>
    <w:rsid w:val="00EE45AB"/>
    <w:rsid w:val="00F130E7"/>
    <w:rsid w:val="00F3483C"/>
    <w:rsid w:val="00F70A2A"/>
    <w:rsid w:val="00FB2929"/>
    <w:rsid w:val="00FD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58C3"/>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styleId="UnresolvedMention">
    <w:name w:val="Unresolved Mention"/>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 w:type="character" w:styleId="CommentReference">
    <w:name w:val="annotation reference"/>
    <w:basedOn w:val="DefaultParagraphFont"/>
    <w:uiPriority w:val="99"/>
    <w:semiHidden/>
    <w:unhideWhenUsed/>
    <w:rsid w:val="006D5373"/>
    <w:rPr>
      <w:sz w:val="16"/>
      <w:szCs w:val="16"/>
    </w:rPr>
  </w:style>
  <w:style w:type="paragraph" w:styleId="CommentText">
    <w:name w:val="annotation text"/>
    <w:basedOn w:val="Normal"/>
    <w:link w:val="CommentTextChar"/>
    <w:uiPriority w:val="99"/>
    <w:unhideWhenUsed/>
    <w:rsid w:val="006D5373"/>
    <w:pPr>
      <w:spacing w:line="240" w:lineRule="auto"/>
    </w:pPr>
    <w:rPr>
      <w:sz w:val="20"/>
      <w:szCs w:val="20"/>
    </w:rPr>
  </w:style>
  <w:style w:type="character" w:customStyle="1" w:styleId="CommentTextChar">
    <w:name w:val="Comment Text Char"/>
    <w:basedOn w:val="DefaultParagraphFont"/>
    <w:link w:val="CommentText"/>
    <w:uiPriority w:val="99"/>
    <w:rsid w:val="006D5373"/>
    <w:rPr>
      <w:sz w:val="20"/>
      <w:szCs w:val="20"/>
    </w:rPr>
  </w:style>
  <w:style w:type="paragraph" w:styleId="CommentSubject">
    <w:name w:val="annotation subject"/>
    <w:basedOn w:val="CommentText"/>
    <w:next w:val="CommentText"/>
    <w:link w:val="CommentSubjectChar"/>
    <w:uiPriority w:val="99"/>
    <w:semiHidden/>
    <w:unhideWhenUsed/>
    <w:rsid w:val="006D5373"/>
    <w:rPr>
      <w:b/>
      <w:bCs/>
    </w:rPr>
  </w:style>
  <w:style w:type="character" w:customStyle="1" w:styleId="CommentSubjectChar">
    <w:name w:val="Comment Subject Char"/>
    <w:basedOn w:val="CommentTextChar"/>
    <w:link w:val="CommentSubject"/>
    <w:uiPriority w:val="99"/>
    <w:semiHidden/>
    <w:rsid w:val="006D53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diaroom@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tec.com/media-room" TargetMode="External"/><Relationship Id="rId5" Type="http://schemas.openxmlformats.org/officeDocument/2006/relationships/hyperlink" Target="http://www.samtec.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647</Words>
  <Characters>4529</Characters>
  <Application>Microsoft Office Word</Application>
  <DocSecurity>0</DocSecurity>
  <Lines>94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Boesing</dc:creator>
  <cp:keywords/>
  <dc:description/>
  <cp:lastModifiedBy>Patrick Mannion</cp:lastModifiedBy>
  <cp:revision>4</cp:revision>
  <dcterms:created xsi:type="dcterms:W3CDTF">2026-07-20T06:23:00Z</dcterms:created>
  <dcterms:modified xsi:type="dcterms:W3CDTF">2026-07-23T14:46:00Z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