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76A931" w14:textId="77777777" w:rsidR="00361A6D" w:rsidRDefault="00000000" w:rsidP="00361A6D">
      <w:pPr>
        <w:spacing w:after="0" w:line="240" w:lineRule="auto"/>
      </w:pPr>
      <w:r>
        <w:rPr>
          <w:noProof/>
        </w:rPr>
        <w:drawing>
          <wp:inline distT="0" distB="0" distL="0" distR="0" wp14:anchorId="0F141A6E" wp14:editId="1146AEC7">
            <wp:extent cx="1866900" cy="541617"/>
            <wp:effectExtent l="0" t="0" r="0" b="0"/>
            <wp:docPr id="1811063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353742"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882069" cy="546018"/>
                    </a:xfrm>
                    <a:prstGeom prst="rect">
                      <a:avLst/>
                    </a:prstGeom>
                    <a:noFill/>
                    <a:ln>
                      <a:noFill/>
                    </a:ln>
                  </pic:spPr>
                </pic:pic>
              </a:graphicData>
            </a:graphic>
          </wp:inline>
        </w:drawing>
      </w:r>
    </w:p>
    <w:p w14:paraId="774582B5" w14:textId="77777777" w:rsidR="00A054F2" w:rsidRDefault="00A054F2" w:rsidP="00361A6D">
      <w:pPr>
        <w:spacing w:after="0" w:line="240" w:lineRule="auto"/>
      </w:pPr>
    </w:p>
    <w:p w14:paraId="40B445A7" w14:textId="77777777" w:rsidR="008B763A" w:rsidRPr="000D7B22" w:rsidRDefault="00000000" w:rsidP="00361A6D">
      <w:pPr>
        <w:spacing w:after="0" w:line="240" w:lineRule="auto"/>
        <w:rPr>
          <w:b/>
          <w:bCs/>
          <w:lang w:val="it-IT"/>
        </w:rPr>
      </w:pPr>
      <w:r w:rsidRPr="005D6A3A">
        <w:rPr>
          <w:b/>
          <w:bCs/>
          <w:lang w:val="it-IT"/>
        </w:rPr>
        <w:t>CON CORTESE RICHIESTA DI IMMEDIATA PUBBLICAZIONE</w:t>
      </w:r>
    </w:p>
    <w:p w14:paraId="5EE0E0B9" w14:textId="77777777" w:rsidR="001B6784" w:rsidRPr="000D7B22" w:rsidRDefault="001B6784" w:rsidP="00361A6D">
      <w:pPr>
        <w:spacing w:after="0" w:line="240" w:lineRule="auto"/>
        <w:rPr>
          <w:lang w:val="it-IT"/>
        </w:rPr>
      </w:pPr>
    </w:p>
    <w:p w14:paraId="7419F6DD" w14:textId="77777777" w:rsidR="00145EC3" w:rsidRPr="000D7B22" w:rsidRDefault="00145EC3" w:rsidP="00361A6D">
      <w:pPr>
        <w:spacing w:after="0" w:line="240" w:lineRule="auto"/>
        <w:rPr>
          <w:lang w:val="it-IT"/>
        </w:rPr>
      </w:pPr>
    </w:p>
    <w:p w14:paraId="23207E70" w14:textId="77777777" w:rsidR="00361A6D" w:rsidRPr="000D7B22" w:rsidRDefault="00000000" w:rsidP="00363B85">
      <w:pPr>
        <w:spacing w:after="0" w:line="240" w:lineRule="auto"/>
        <w:jc w:val="center"/>
        <w:rPr>
          <w:b/>
          <w:bCs/>
          <w:sz w:val="32"/>
          <w:szCs w:val="32"/>
          <w:lang w:val="it-IT"/>
        </w:rPr>
      </w:pPr>
      <w:r w:rsidRPr="00F130E7">
        <w:rPr>
          <w:b/>
          <w:bCs/>
          <w:sz w:val="32"/>
          <w:szCs w:val="32"/>
          <w:lang w:val="it-IT"/>
        </w:rPr>
        <w:t xml:space="preserve">Samtec ottiene il riconoscimento Flex </w:t>
      </w:r>
      <w:proofErr w:type="spellStart"/>
      <w:r w:rsidRPr="00F130E7">
        <w:rPr>
          <w:b/>
          <w:bCs/>
          <w:sz w:val="32"/>
          <w:szCs w:val="32"/>
          <w:lang w:val="it-IT"/>
        </w:rPr>
        <w:t>Sustainability</w:t>
      </w:r>
      <w:proofErr w:type="spellEnd"/>
      <w:r w:rsidRPr="00F130E7">
        <w:rPr>
          <w:b/>
          <w:bCs/>
          <w:sz w:val="32"/>
          <w:szCs w:val="32"/>
          <w:lang w:val="it-IT"/>
        </w:rPr>
        <w:t xml:space="preserve"> Award</w:t>
      </w:r>
    </w:p>
    <w:p w14:paraId="309F55CC" w14:textId="77777777" w:rsidR="00A054F2" w:rsidRPr="000D7B22" w:rsidRDefault="00A054F2" w:rsidP="00361A6D">
      <w:pPr>
        <w:spacing w:after="0" w:line="240" w:lineRule="auto"/>
        <w:rPr>
          <w:lang w:val="it-IT"/>
        </w:rPr>
      </w:pPr>
    </w:p>
    <w:p w14:paraId="6BAB350B" w14:textId="77777777" w:rsidR="00361A6D" w:rsidRPr="000D7B22" w:rsidRDefault="00000000" w:rsidP="00361A6D">
      <w:pPr>
        <w:spacing w:after="0" w:line="240" w:lineRule="auto"/>
        <w:rPr>
          <w:lang w:val="it-IT"/>
        </w:rPr>
      </w:pPr>
      <w:r w:rsidRPr="00F70A2A">
        <w:rPr>
          <w:b/>
          <w:bCs/>
          <w:lang w:val="it-IT"/>
        </w:rPr>
        <w:t xml:space="preserve">Luglio 2026, New Albany, Indiana </w:t>
      </w:r>
      <w:r w:rsidRPr="00F70A2A">
        <w:rPr>
          <w:lang w:val="it-IT"/>
        </w:rPr>
        <w:t xml:space="preserve">– Samtec, Inc., leader nel settore dei connettori, annuncia di avere ricevuto il riconoscimento 2025 Flex </w:t>
      </w:r>
      <w:proofErr w:type="spellStart"/>
      <w:r w:rsidRPr="00F70A2A">
        <w:rPr>
          <w:lang w:val="it-IT"/>
        </w:rPr>
        <w:t>Sustainability</w:t>
      </w:r>
      <w:proofErr w:type="spellEnd"/>
      <w:r w:rsidRPr="00F70A2A">
        <w:rPr>
          <w:lang w:val="it-IT"/>
        </w:rPr>
        <w:t xml:space="preserve"> Award per il primo posto conquistato nella categoria </w:t>
      </w:r>
      <w:proofErr w:type="spellStart"/>
      <w:r w:rsidRPr="00F70A2A">
        <w:rPr>
          <w:lang w:val="it-IT"/>
        </w:rPr>
        <w:t>Achieved</w:t>
      </w:r>
      <w:proofErr w:type="spellEnd"/>
      <w:r w:rsidRPr="00F70A2A">
        <w:rPr>
          <w:lang w:val="it-IT"/>
        </w:rPr>
        <w:t xml:space="preserve"> RE (</w:t>
      </w:r>
      <w:proofErr w:type="spellStart"/>
      <w:r w:rsidRPr="00F70A2A">
        <w:rPr>
          <w:lang w:val="it-IT"/>
        </w:rPr>
        <w:t>Renewable</w:t>
      </w:r>
      <w:proofErr w:type="spellEnd"/>
      <w:r w:rsidRPr="00F70A2A">
        <w:rPr>
          <w:lang w:val="it-IT"/>
        </w:rPr>
        <w:t xml:space="preserve"> Energy) Target. </w:t>
      </w:r>
    </w:p>
    <w:p w14:paraId="221EE135" w14:textId="77777777" w:rsidR="00A054F2" w:rsidRPr="000D7B22" w:rsidRDefault="00A054F2" w:rsidP="00361A6D">
      <w:pPr>
        <w:spacing w:after="0" w:line="240" w:lineRule="auto"/>
        <w:rPr>
          <w:lang w:val="it-IT"/>
        </w:rPr>
      </w:pPr>
    </w:p>
    <w:p w14:paraId="15B26BA0" w14:textId="77777777" w:rsidR="00361A6D" w:rsidRPr="000D7B22" w:rsidRDefault="00000000" w:rsidP="00361A6D">
      <w:pPr>
        <w:spacing w:after="0" w:line="240" w:lineRule="auto"/>
        <w:rPr>
          <w:lang w:val="it-IT"/>
        </w:rPr>
      </w:pPr>
      <w:r>
        <w:rPr>
          <w:lang w:val="it-IT"/>
        </w:rPr>
        <w:t xml:space="preserve">Flex, azienda che sviluppa soluzioni per la catena di fornitura e la produzione a livello internazionale, premia fornitori globali di primo livello che dimostrano un impegno eccezionale e progressi misurabili nel portare avanti la sostenibilità della catena di fornitura e ridurre l’impatto ambientale. </w:t>
      </w:r>
    </w:p>
    <w:p w14:paraId="78D78388" w14:textId="77777777" w:rsidR="00A054F2" w:rsidRPr="000D7B22" w:rsidRDefault="00A054F2" w:rsidP="00361A6D">
      <w:pPr>
        <w:spacing w:after="0" w:line="240" w:lineRule="auto"/>
        <w:rPr>
          <w:lang w:val="it-IT"/>
        </w:rPr>
      </w:pPr>
    </w:p>
    <w:p w14:paraId="7EDDF143" w14:textId="6B2B5827" w:rsidR="00361A6D" w:rsidRPr="000D7B22" w:rsidRDefault="00000000" w:rsidP="00361A6D">
      <w:pPr>
        <w:spacing w:after="0" w:line="240" w:lineRule="auto"/>
        <w:rPr>
          <w:lang w:val="it-IT"/>
        </w:rPr>
      </w:pPr>
      <w:r>
        <w:rPr>
          <w:lang w:val="it-IT"/>
        </w:rPr>
        <w:t xml:space="preserve">Samtec ha ricevuto il riconoscimento Flex </w:t>
      </w:r>
      <w:proofErr w:type="spellStart"/>
      <w:r>
        <w:rPr>
          <w:lang w:val="it-IT"/>
        </w:rPr>
        <w:t>Sustainability</w:t>
      </w:r>
      <w:proofErr w:type="spellEnd"/>
      <w:r>
        <w:rPr>
          <w:lang w:val="it-IT"/>
        </w:rPr>
        <w:t xml:space="preserve"> Award nella categoria Energia rinnovabile per </w:t>
      </w:r>
      <w:r w:rsidR="00C835A4">
        <w:rPr>
          <w:lang w:val="it-IT"/>
        </w:rPr>
        <w:t>l’</w:t>
      </w:r>
      <w:r>
        <w:rPr>
          <w:lang w:val="it-IT"/>
        </w:rPr>
        <w:t xml:space="preserve">impegno continuo </w:t>
      </w:r>
      <w:r w:rsidR="00C835A4">
        <w:rPr>
          <w:lang w:val="it-IT"/>
        </w:rPr>
        <w:t>dimostrato nel</w:t>
      </w:r>
      <w:r>
        <w:rPr>
          <w:lang w:val="it-IT"/>
        </w:rPr>
        <w:t xml:space="preserve"> migliorare la sostenibilità e ridurre le emissioni – raggiungendo e superando tutti gli obiettivi che si era prefissata per il 2025. “Siamo lieti di ricevere il riconoscimento Flex </w:t>
      </w:r>
      <w:proofErr w:type="spellStart"/>
      <w:r>
        <w:rPr>
          <w:lang w:val="it-IT"/>
        </w:rPr>
        <w:t>Sustainability</w:t>
      </w:r>
      <w:proofErr w:type="spellEnd"/>
      <w:r>
        <w:rPr>
          <w:lang w:val="it-IT"/>
        </w:rPr>
        <w:t xml:space="preserve"> Award conferito quest’anno per attestare i meriti delle attività collettive del team Samtec responsabile della sostenibilità e del personale di stabilimento in tutto il mondo”, commenta Mac Miller, Direttore compliance presso Samtec. “I loro sforzi combinati sono stati coronati dal successo, sono risultati credibili e hanno avuto effetti concreti in tutte le comunità in cui Samtec opera”. </w:t>
      </w:r>
    </w:p>
    <w:p w14:paraId="237D9718" w14:textId="77777777" w:rsidR="00A054F2" w:rsidRPr="000D7B22" w:rsidRDefault="00A054F2" w:rsidP="00361A6D">
      <w:pPr>
        <w:spacing w:after="0" w:line="240" w:lineRule="auto"/>
        <w:rPr>
          <w:lang w:val="it-IT"/>
        </w:rPr>
      </w:pPr>
    </w:p>
    <w:p w14:paraId="241A4205" w14:textId="17CA4A8C" w:rsidR="00361A6D" w:rsidRPr="000D7B22" w:rsidRDefault="00000000" w:rsidP="00361A6D">
      <w:pPr>
        <w:spacing w:after="0" w:line="240" w:lineRule="auto"/>
        <w:rPr>
          <w:lang w:val="it-IT"/>
        </w:rPr>
      </w:pPr>
      <w:r>
        <w:rPr>
          <w:lang w:val="it-IT"/>
        </w:rPr>
        <w:t xml:space="preserve">Flex, nominata 2025 </w:t>
      </w:r>
      <w:proofErr w:type="spellStart"/>
      <w:r>
        <w:rPr>
          <w:lang w:val="it-IT"/>
        </w:rPr>
        <w:t>Sustainability</w:t>
      </w:r>
      <w:proofErr w:type="spellEnd"/>
      <w:r>
        <w:rPr>
          <w:lang w:val="it-IT"/>
        </w:rPr>
        <w:t xml:space="preserve"> Supplier of the </w:t>
      </w:r>
      <w:proofErr w:type="spellStart"/>
      <w:r>
        <w:rPr>
          <w:lang w:val="it-IT"/>
        </w:rPr>
        <w:t>Year</w:t>
      </w:r>
      <w:proofErr w:type="spellEnd"/>
      <w:r>
        <w:rPr>
          <w:lang w:val="it-IT"/>
        </w:rPr>
        <w:t xml:space="preserve"> di Ford Motor Company, mantiene un rating Gold assegnato da </w:t>
      </w:r>
      <w:proofErr w:type="spellStart"/>
      <w:r>
        <w:rPr>
          <w:lang w:val="it-IT"/>
        </w:rPr>
        <w:t>EcoVadis</w:t>
      </w:r>
      <w:proofErr w:type="spellEnd"/>
      <w:r>
        <w:rPr>
          <w:lang w:val="it-IT"/>
        </w:rPr>
        <w:t xml:space="preserve"> – una piattaforma rinomata a livello globale di valutazione delle iniziative riguardanti i temi ESG (ambientali, sociali e della responsabilità d’impresa) e </w:t>
      </w:r>
      <w:r w:rsidR="00C835A4">
        <w:rPr>
          <w:lang w:val="it-IT"/>
        </w:rPr>
        <w:t>la</w:t>
      </w:r>
      <w:r>
        <w:rPr>
          <w:lang w:val="it-IT"/>
        </w:rPr>
        <w:t xml:space="preserve"> sostenibilità</w:t>
      </w:r>
      <w:r w:rsidR="00C835A4">
        <w:rPr>
          <w:lang w:val="it-IT"/>
        </w:rPr>
        <w:t>,</w:t>
      </w:r>
      <w:r>
        <w:rPr>
          <w:lang w:val="it-IT"/>
        </w:rPr>
        <w:t xml:space="preserve"> che valuta l’efficacia con cui un’impresa integra la sostenibilità nella gestione della catena di fornitura e delle operazioni commerciali. </w:t>
      </w:r>
    </w:p>
    <w:p w14:paraId="1E638C8A" w14:textId="77777777" w:rsidR="00A054F2" w:rsidRPr="000D7B22" w:rsidRDefault="00A054F2" w:rsidP="00361A6D">
      <w:pPr>
        <w:spacing w:after="0" w:line="240" w:lineRule="auto"/>
        <w:rPr>
          <w:lang w:val="it-IT"/>
        </w:rPr>
      </w:pPr>
    </w:p>
    <w:p w14:paraId="6C1351FD" w14:textId="77777777" w:rsidR="00361A6D" w:rsidRPr="000D7B22" w:rsidRDefault="00000000" w:rsidP="00361A6D">
      <w:pPr>
        <w:spacing w:after="0" w:line="240" w:lineRule="auto"/>
        <w:rPr>
          <w:b/>
          <w:bCs/>
          <w:lang w:val="it-IT"/>
        </w:rPr>
      </w:pPr>
      <w:r w:rsidRPr="00A054F2">
        <w:rPr>
          <w:b/>
          <w:bCs/>
          <w:lang w:val="it-IT"/>
        </w:rPr>
        <w:t>I risultati positivi ottenuti da Samtec riguardo alla sostenibilità</w:t>
      </w:r>
    </w:p>
    <w:p w14:paraId="3C3D382B" w14:textId="77777777" w:rsidR="00A054F2" w:rsidRPr="000D7B22" w:rsidRDefault="00A054F2" w:rsidP="00361A6D">
      <w:pPr>
        <w:spacing w:after="0" w:line="240" w:lineRule="auto"/>
        <w:rPr>
          <w:lang w:val="it-IT"/>
        </w:rPr>
      </w:pPr>
    </w:p>
    <w:p w14:paraId="13A09AC5" w14:textId="0CD18722" w:rsidR="00361A6D" w:rsidRPr="000D7B22" w:rsidRDefault="00746D3B" w:rsidP="00361A6D">
      <w:pPr>
        <w:spacing w:after="0" w:line="240" w:lineRule="auto"/>
        <w:rPr>
          <w:lang w:val="it-IT"/>
        </w:rPr>
      </w:pPr>
      <w:r w:rsidRPr="00746D3B">
        <w:rPr>
          <w:lang w:val="it-IT"/>
        </w:rPr>
        <w:t xml:space="preserve">I risultati ottenuti da Samtec riguardo alla sostenibilità rispecchiano </w:t>
      </w:r>
      <w:r>
        <w:rPr>
          <w:lang w:val="it-IT"/>
        </w:rPr>
        <w:t xml:space="preserve">l’impatto combinato di iniziative mirate alla riduzione del consumo energetico, al maggiore utilizzo di fonti di energia con minori emissioni di carbonio e alle attività di preservazione delle risorse idriche. </w:t>
      </w:r>
    </w:p>
    <w:p w14:paraId="135E468B" w14:textId="77777777" w:rsidR="00D324FD" w:rsidRPr="000D7B22" w:rsidRDefault="00D324FD" w:rsidP="00361A6D">
      <w:pPr>
        <w:spacing w:after="0" w:line="240" w:lineRule="auto"/>
        <w:rPr>
          <w:lang w:val="it-IT"/>
        </w:rPr>
      </w:pPr>
    </w:p>
    <w:p w14:paraId="1B641339" w14:textId="4AEF1D62" w:rsidR="009F089B" w:rsidRDefault="009F089B" w:rsidP="00361A6D">
      <w:pPr>
        <w:spacing w:after="0" w:line="240" w:lineRule="auto"/>
        <w:rPr>
          <w:lang w:val="it-IT"/>
        </w:rPr>
      </w:pPr>
      <w:r w:rsidRPr="009F089B">
        <w:rPr>
          <w:lang w:val="it-IT"/>
        </w:rPr>
        <w:t xml:space="preserve">Per esempio, Samtec ha ridotto del 25,3% l’intensità delle proprie emissioni Scope 1 e Scope 2 rispetto al valore di riferimento del 2019. Le emissioni Scope 1 sono emissioni dirette di gas a effetto serra rilasciate in loco da fonti di proprietà dell’azienda o da essa </w:t>
      </w:r>
      <w:r w:rsidRPr="009F089B">
        <w:rPr>
          <w:lang w:val="it-IT"/>
        </w:rPr>
        <w:lastRenderedPageBreak/>
        <w:t>controllate, mentre le emissioni Scope 2 sono associate all’acquisto di energia elettrica, vapore, calore o raffreddamento e si verificano fisicamente presso gli impianti in cui tale energia viene generata. Samtec ha inoltre completato con successo le stime delle emissioni per varie altre categorie, al fine di stabilire valori di riferimento e individuare, in collaborazione con partner e fornitori, opportunità di riduzione future.</w:t>
      </w:r>
    </w:p>
    <w:p w14:paraId="0DA67330" w14:textId="77777777" w:rsidR="009F089B" w:rsidRPr="000D7B22" w:rsidRDefault="009F089B" w:rsidP="00361A6D">
      <w:pPr>
        <w:spacing w:after="0" w:line="240" w:lineRule="auto"/>
        <w:rPr>
          <w:lang w:val="it-IT"/>
        </w:rPr>
      </w:pPr>
    </w:p>
    <w:p w14:paraId="011CA53C" w14:textId="77777777" w:rsidR="00361A6D" w:rsidRPr="000D7B22" w:rsidRDefault="00000000" w:rsidP="00361A6D">
      <w:pPr>
        <w:spacing w:after="0" w:line="240" w:lineRule="auto"/>
        <w:rPr>
          <w:lang w:val="it-IT"/>
        </w:rPr>
      </w:pPr>
      <w:r>
        <w:rPr>
          <w:lang w:val="it-IT"/>
        </w:rPr>
        <w:t>Non solo: nel 2025 Samtec ha superato l’obiettivo che si era prefissata riguardo all’energia rinnovabile aumentando al 21,5% la quota di rinnovabili nel suo portafoglio globale di fonti energetiche. I fattori trainanti di questi progressi sono stati vari accordi ampliati riguardanti l’energia elettrica green, l’approvvigionamento strategico di crediti collegati alle rinnovabili e lo sviluppo di progetti per l’utilizzo di rinnovabili in loco. Un impianto fotovoltaico installato recentemente presso lo stabilimento Samtec in Costa Rica erogherà circa il 28% dell’energia consumata annualmente.</w:t>
      </w:r>
    </w:p>
    <w:p w14:paraId="42FBA02D" w14:textId="77777777" w:rsidR="00EE45AB" w:rsidRPr="000D7B22" w:rsidRDefault="00EE45AB" w:rsidP="00361A6D">
      <w:pPr>
        <w:spacing w:after="0" w:line="240" w:lineRule="auto"/>
        <w:rPr>
          <w:lang w:val="it-IT"/>
        </w:rPr>
      </w:pPr>
    </w:p>
    <w:p w14:paraId="4A3CACB9" w14:textId="77777777" w:rsidR="00361A6D" w:rsidRPr="000D7B22" w:rsidRDefault="00000000" w:rsidP="00361A6D">
      <w:pPr>
        <w:spacing w:after="0" w:line="240" w:lineRule="auto"/>
        <w:rPr>
          <w:lang w:val="it-IT"/>
        </w:rPr>
      </w:pPr>
      <w:r>
        <w:rPr>
          <w:lang w:val="it-IT"/>
        </w:rPr>
        <w:t xml:space="preserve">Nel 2025 Samtec ha fatto progressi significativi verso l’ottimizzazione dell’uso di acqua, particolarmente in processi che ne richiedono grandi quantità, come l’elettrodeposizione. Presso la sede centrale di New Albany, Indiana, è in piena attività un nuovo impianto di trattamento delle acque reflue, che ha contribuito al conseguimento di una percentuale di riciclaggio dell’acqua del 20% per tutte le attività di produzione nel mondo. </w:t>
      </w:r>
    </w:p>
    <w:p w14:paraId="14BB1A5D" w14:textId="77777777" w:rsidR="00361A6D" w:rsidRPr="000D7B22" w:rsidRDefault="00361A6D" w:rsidP="00361A6D">
      <w:pPr>
        <w:spacing w:after="0" w:line="240" w:lineRule="auto"/>
        <w:rPr>
          <w:lang w:val="it-IT"/>
        </w:rPr>
      </w:pPr>
    </w:p>
    <w:p w14:paraId="68EF1D80" w14:textId="77777777" w:rsidR="004B337C" w:rsidRPr="000D7B22" w:rsidRDefault="00000000" w:rsidP="004B337C">
      <w:pPr>
        <w:spacing w:after="0" w:line="240" w:lineRule="auto"/>
        <w:rPr>
          <w:lang w:val="it-IT"/>
        </w:rPr>
      </w:pPr>
      <w:r w:rsidRPr="004B337C">
        <w:rPr>
          <w:b/>
          <w:bCs/>
          <w:lang w:val="it-IT"/>
        </w:rPr>
        <w:t xml:space="preserve">Profilo di Samtec, Inc. </w:t>
      </w:r>
    </w:p>
    <w:p w14:paraId="384BAEC9" w14:textId="77777777" w:rsidR="004B337C" w:rsidRPr="000D7B22" w:rsidRDefault="004B337C" w:rsidP="004B337C">
      <w:pPr>
        <w:spacing w:after="0" w:line="240" w:lineRule="auto"/>
        <w:rPr>
          <w:lang w:val="it-IT"/>
        </w:rPr>
      </w:pPr>
    </w:p>
    <w:p w14:paraId="4A7D3574" w14:textId="0B5FE8A3" w:rsidR="004B337C" w:rsidRPr="000D7B22" w:rsidRDefault="009F089B" w:rsidP="004B337C">
      <w:pPr>
        <w:spacing w:after="0" w:line="240" w:lineRule="auto"/>
        <w:rPr>
          <w:lang w:val="it-IT"/>
        </w:rPr>
      </w:pPr>
      <w:r w:rsidRPr="009F089B">
        <w:rPr>
          <w:lang w:val="it-IT"/>
        </w:rPr>
        <w:t xml:space="preserve">Samtec è un produttore globale da 1 miliardo di dollari che offre un’ampia gamma di soluzioni di interconnessione elettronica, tra cui interconnessioni scheda-scheda ad alta velocità, cavi ad alta velocità, soluzioni ottiche </w:t>
      </w:r>
      <w:proofErr w:type="spellStart"/>
      <w:r w:rsidRPr="009F089B">
        <w:rPr>
          <w:lang w:val="it-IT"/>
        </w:rPr>
        <w:t>mid</w:t>
      </w:r>
      <w:proofErr w:type="spellEnd"/>
      <w:r w:rsidRPr="009F089B">
        <w:rPr>
          <w:lang w:val="it-IT"/>
        </w:rPr>
        <w:t>-board e da pannello, soluzioni RF di precisione, soluzioni di impilamento flessibile e componenti e cavi micro/</w:t>
      </w:r>
      <w:proofErr w:type="spellStart"/>
      <w:r w:rsidRPr="009F089B">
        <w:rPr>
          <w:lang w:val="it-IT"/>
        </w:rPr>
        <w:t>rugged</w:t>
      </w:r>
      <w:proofErr w:type="spellEnd"/>
      <w:r w:rsidRPr="004B337C">
        <w:rPr>
          <w:lang w:val="it-IT"/>
        </w:rPr>
        <w:t xml:space="preserve">. Grazie a oltre 40 sedi nel mondo e </w:t>
      </w:r>
      <w:r w:rsidR="00285BDB">
        <w:rPr>
          <w:lang w:val="it-IT"/>
        </w:rPr>
        <w:t xml:space="preserve">a </w:t>
      </w:r>
      <w:r w:rsidRPr="004B337C">
        <w:rPr>
          <w:lang w:val="it-IT"/>
        </w:rPr>
        <w:t>prodotti venduti in più di 125 paesi, Samtec vanta una presenza globale che le permette di offrire un servizio clienti ineguagliato. Samtec offre soluzioni di interconnessione di nuova generazione e alta qualità per molteplici settori – trasmissione dati, telecomunicazioni, computer, dispositivi a semiconduttori, medico, industriale, automotive, strumentazione e altri ancora. Per ulteriori informazioni</w:t>
      </w:r>
      <w:r w:rsidR="00285BDB">
        <w:rPr>
          <w:lang w:val="it-IT"/>
        </w:rPr>
        <w:t>,</w:t>
      </w:r>
      <w:r w:rsidRPr="004B337C">
        <w:rPr>
          <w:lang w:val="it-IT"/>
        </w:rPr>
        <w:t xml:space="preserve"> visitare il sito</w:t>
      </w:r>
      <w:r w:rsidR="000D7B22">
        <w:rPr>
          <w:lang w:val="it-IT"/>
        </w:rPr>
        <w:t xml:space="preserve"> </w:t>
      </w:r>
      <w:hyperlink r:id="rId5" w:history="1">
        <w:r w:rsidR="000D7B22" w:rsidRPr="0084514F">
          <w:rPr>
            <w:rStyle w:val="Hyperlink"/>
            <w:lang w:val="it-IT"/>
          </w:rPr>
          <w:t>www.samtec.com</w:t>
        </w:r>
      </w:hyperlink>
    </w:p>
    <w:p w14:paraId="40787437" w14:textId="77777777" w:rsidR="004B337C" w:rsidRPr="000D7B22" w:rsidRDefault="004B337C" w:rsidP="004B337C">
      <w:pPr>
        <w:spacing w:after="0" w:line="240" w:lineRule="auto"/>
        <w:rPr>
          <w:lang w:val="it-IT"/>
        </w:rPr>
      </w:pPr>
    </w:p>
    <w:p w14:paraId="680F29FC" w14:textId="77777777" w:rsidR="004B337C" w:rsidRPr="000D7B22" w:rsidRDefault="00000000" w:rsidP="004B337C">
      <w:pPr>
        <w:spacing w:after="0" w:line="240" w:lineRule="auto"/>
        <w:rPr>
          <w:lang w:val="it-IT"/>
        </w:rPr>
      </w:pPr>
      <w:r w:rsidRPr="004B337C">
        <w:rPr>
          <w:b/>
          <w:bCs/>
          <w:lang w:val="it-IT"/>
        </w:rPr>
        <w:t>Samtec, Inc.</w:t>
      </w:r>
      <w:r w:rsidRPr="004B337C">
        <w:rPr>
          <w:b/>
          <w:bCs/>
          <w:lang w:val="it-IT"/>
        </w:rPr>
        <w:br/>
        <w:t>P.O. Box 1147</w:t>
      </w:r>
      <w:r w:rsidRPr="004B337C">
        <w:rPr>
          <w:b/>
          <w:bCs/>
          <w:lang w:val="it-IT"/>
        </w:rPr>
        <w:br/>
        <w:t>New Albany, IN 47151-1147</w:t>
      </w:r>
      <w:r w:rsidRPr="004B337C">
        <w:rPr>
          <w:b/>
          <w:bCs/>
          <w:lang w:val="it-IT"/>
        </w:rPr>
        <w:br/>
        <w:t>USA</w:t>
      </w:r>
      <w:r w:rsidRPr="004B337C">
        <w:rPr>
          <w:b/>
          <w:bCs/>
          <w:lang w:val="it-IT"/>
        </w:rPr>
        <w:br/>
        <w:t>Telefono:</w:t>
      </w:r>
      <w:r w:rsidRPr="004B337C">
        <w:rPr>
          <w:lang w:val="it-IT"/>
        </w:rPr>
        <w:t xml:space="preserve"> </w:t>
      </w:r>
      <w:r w:rsidRPr="004B337C">
        <w:rPr>
          <w:b/>
          <w:bCs/>
          <w:lang w:val="it-IT"/>
        </w:rPr>
        <w:t>+ 812-944-6733</w:t>
      </w:r>
      <w:r w:rsidRPr="004B337C">
        <w:rPr>
          <w:b/>
          <w:bCs/>
          <w:lang w:val="it-IT"/>
        </w:rPr>
        <w:br/>
      </w:r>
      <w:hyperlink r:id="rId6" w:tgtFrame="_blank" w:history="1">
        <w:r w:rsidR="004B337C" w:rsidRPr="00BA1C07">
          <w:rPr>
            <w:rStyle w:val="Hyperlink"/>
            <w:b/>
            <w:bCs/>
            <w:color w:val="0070C0"/>
            <w:lang w:val="it-IT"/>
          </w:rPr>
          <w:t>www.samtec.com/media-room</w:t>
        </w:r>
      </w:hyperlink>
    </w:p>
    <w:p w14:paraId="28CA97BE" w14:textId="77777777" w:rsidR="00DB08A4" w:rsidRPr="000D7B22" w:rsidRDefault="00DB08A4" w:rsidP="004B337C">
      <w:pPr>
        <w:spacing w:after="0" w:line="240" w:lineRule="auto"/>
        <w:rPr>
          <w:lang w:val="it-IT"/>
        </w:rPr>
      </w:pPr>
    </w:p>
    <w:p w14:paraId="1F8D6979" w14:textId="21D7647D" w:rsidR="00361A6D" w:rsidRPr="000D7B22" w:rsidRDefault="00000000" w:rsidP="00361A6D">
      <w:pPr>
        <w:spacing w:after="0" w:line="240" w:lineRule="auto"/>
        <w:rPr>
          <w:lang w:val="it-IT"/>
        </w:rPr>
      </w:pPr>
      <w:r w:rsidRPr="004B337C">
        <w:rPr>
          <w:lang w:val="it-IT"/>
        </w:rPr>
        <w:t>Il nostro ufficio stampa è sempre disponibile per condividere con giornalisti di tutto il mondo storie nuove e molto interessanti. I rappresenta</w:t>
      </w:r>
      <w:r w:rsidR="00003FBE">
        <w:rPr>
          <w:lang w:val="it-IT"/>
        </w:rPr>
        <w:t>n</w:t>
      </w:r>
      <w:r w:rsidRPr="004B337C">
        <w:rPr>
          <w:lang w:val="it-IT"/>
        </w:rPr>
        <w:t xml:space="preserve">ti della stampa </w:t>
      </w:r>
      <w:r w:rsidR="00AF0C8D">
        <w:rPr>
          <w:lang w:val="it-IT"/>
        </w:rPr>
        <w:t>e dei</w:t>
      </w:r>
      <w:r w:rsidRPr="004B337C">
        <w:rPr>
          <w:lang w:val="it-IT"/>
        </w:rPr>
        <w:t xml:space="preserve"> media possono contattarci a</w:t>
      </w:r>
      <w:r w:rsidR="00AF0C8D">
        <w:rPr>
          <w:lang w:val="it-IT"/>
        </w:rPr>
        <w:t xml:space="preserve">ll'indirizzo </w:t>
      </w:r>
      <w:r w:rsidR="00A96934">
        <w:rPr>
          <w:lang w:val="it-IT"/>
        </w:rPr>
        <w:t xml:space="preserve">e-mail </w:t>
      </w:r>
      <w:hyperlink r:id="rId7" w:tgtFrame="_blank" w:history="1">
        <w:r w:rsidR="004B337C" w:rsidRPr="00BA1C07">
          <w:rPr>
            <w:rStyle w:val="Hyperlink"/>
            <w:color w:val="0070C0"/>
            <w:u w:val="none"/>
            <w:lang w:val="it-IT"/>
          </w:rPr>
          <w:t>mediaroom@samtec.com</w:t>
        </w:r>
      </w:hyperlink>
      <w:r w:rsidRPr="004B337C">
        <w:rPr>
          <w:lang w:val="it-IT"/>
        </w:rPr>
        <w:t>.</w:t>
      </w:r>
    </w:p>
    <w:sectPr w:rsidR="00361A6D" w:rsidRPr="000D7B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A6D"/>
    <w:rsid w:val="00003FBE"/>
    <w:rsid w:val="000415D5"/>
    <w:rsid w:val="000D5E9A"/>
    <w:rsid w:val="000D7B22"/>
    <w:rsid w:val="00145EC3"/>
    <w:rsid w:val="00166673"/>
    <w:rsid w:val="001B6784"/>
    <w:rsid w:val="0028508D"/>
    <w:rsid w:val="00285BDB"/>
    <w:rsid w:val="00361A6D"/>
    <w:rsid w:val="00363B85"/>
    <w:rsid w:val="004B337C"/>
    <w:rsid w:val="004F0230"/>
    <w:rsid w:val="005C0246"/>
    <w:rsid w:val="005D6A3A"/>
    <w:rsid w:val="006135F0"/>
    <w:rsid w:val="006354D8"/>
    <w:rsid w:val="00746D3B"/>
    <w:rsid w:val="007D2A34"/>
    <w:rsid w:val="00853994"/>
    <w:rsid w:val="00874495"/>
    <w:rsid w:val="008B763A"/>
    <w:rsid w:val="008F04BC"/>
    <w:rsid w:val="009439C0"/>
    <w:rsid w:val="009A443B"/>
    <w:rsid w:val="009D75CC"/>
    <w:rsid w:val="009F089B"/>
    <w:rsid w:val="00A02D1F"/>
    <w:rsid w:val="00A054F2"/>
    <w:rsid w:val="00A449FB"/>
    <w:rsid w:val="00A60D19"/>
    <w:rsid w:val="00A96934"/>
    <w:rsid w:val="00AB593C"/>
    <w:rsid w:val="00AD2223"/>
    <w:rsid w:val="00AF0C8D"/>
    <w:rsid w:val="00B02220"/>
    <w:rsid w:val="00B3448D"/>
    <w:rsid w:val="00B41088"/>
    <w:rsid w:val="00BA1C07"/>
    <w:rsid w:val="00BB26D9"/>
    <w:rsid w:val="00C835A4"/>
    <w:rsid w:val="00CA3D55"/>
    <w:rsid w:val="00D324FD"/>
    <w:rsid w:val="00D37285"/>
    <w:rsid w:val="00DB08A4"/>
    <w:rsid w:val="00DE2AA6"/>
    <w:rsid w:val="00EE45AB"/>
    <w:rsid w:val="00F130E7"/>
    <w:rsid w:val="00F3483C"/>
    <w:rsid w:val="00F70A2A"/>
    <w:rsid w:val="00F74B1A"/>
    <w:rsid w:val="00FB2929"/>
    <w:rsid w:val="00FD7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7EAD1"/>
  <w15:chartTrackingRefBased/>
  <w15:docId w15:val="{BDD89A3C-6FD4-47F7-9EFC-AC0AC6A5D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61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A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A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A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A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A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A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A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A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A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A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A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A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A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A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A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A6D"/>
    <w:rPr>
      <w:rFonts w:eastAsiaTheme="majorEastAsia" w:cstheme="majorBidi"/>
      <w:color w:val="272727" w:themeColor="text1" w:themeTint="D8"/>
    </w:rPr>
  </w:style>
  <w:style w:type="paragraph" w:styleId="Title">
    <w:name w:val="Title"/>
    <w:basedOn w:val="Normal"/>
    <w:next w:val="Normal"/>
    <w:link w:val="TitleChar"/>
    <w:uiPriority w:val="10"/>
    <w:qFormat/>
    <w:rsid w:val="00361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A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A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A6D"/>
    <w:pPr>
      <w:spacing w:before="160"/>
      <w:jc w:val="center"/>
    </w:pPr>
    <w:rPr>
      <w:i/>
      <w:iCs/>
      <w:color w:val="404040" w:themeColor="text1" w:themeTint="BF"/>
    </w:rPr>
  </w:style>
  <w:style w:type="character" w:customStyle="1" w:styleId="QuoteChar">
    <w:name w:val="Quote Char"/>
    <w:basedOn w:val="DefaultParagraphFont"/>
    <w:link w:val="Quote"/>
    <w:uiPriority w:val="29"/>
    <w:rsid w:val="00361A6D"/>
    <w:rPr>
      <w:i/>
      <w:iCs/>
      <w:color w:val="404040" w:themeColor="text1" w:themeTint="BF"/>
    </w:rPr>
  </w:style>
  <w:style w:type="paragraph" w:styleId="ListParagraph">
    <w:name w:val="List Paragraph"/>
    <w:basedOn w:val="Normal"/>
    <w:uiPriority w:val="34"/>
    <w:qFormat/>
    <w:rsid w:val="00361A6D"/>
    <w:pPr>
      <w:ind w:left="720"/>
      <w:contextualSpacing/>
    </w:pPr>
  </w:style>
  <w:style w:type="character" w:styleId="IntenseEmphasis">
    <w:name w:val="Intense Emphasis"/>
    <w:basedOn w:val="DefaultParagraphFont"/>
    <w:uiPriority w:val="21"/>
    <w:qFormat/>
    <w:rsid w:val="00361A6D"/>
    <w:rPr>
      <w:i/>
      <w:iCs/>
      <w:color w:val="0F4761" w:themeColor="accent1" w:themeShade="BF"/>
    </w:rPr>
  </w:style>
  <w:style w:type="paragraph" w:styleId="IntenseQuote">
    <w:name w:val="Intense Quote"/>
    <w:basedOn w:val="Normal"/>
    <w:next w:val="Normal"/>
    <w:link w:val="IntenseQuoteChar"/>
    <w:uiPriority w:val="30"/>
    <w:qFormat/>
    <w:rsid w:val="00361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A6D"/>
    <w:rPr>
      <w:i/>
      <w:iCs/>
      <w:color w:val="0F4761" w:themeColor="accent1" w:themeShade="BF"/>
    </w:rPr>
  </w:style>
  <w:style w:type="character" w:styleId="IntenseReference">
    <w:name w:val="Intense Reference"/>
    <w:basedOn w:val="DefaultParagraphFont"/>
    <w:uiPriority w:val="32"/>
    <w:qFormat/>
    <w:rsid w:val="00361A6D"/>
    <w:rPr>
      <w:b/>
      <w:bCs/>
      <w:smallCaps/>
      <w:color w:val="0F4761" w:themeColor="accent1" w:themeShade="BF"/>
      <w:spacing w:val="5"/>
    </w:rPr>
  </w:style>
  <w:style w:type="character" w:styleId="Hyperlink">
    <w:name w:val="Hyperlink"/>
    <w:basedOn w:val="DefaultParagraphFont"/>
    <w:uiPriority w:val="99"/>
    <w:unhideWhenUsed/>
    <w:rsid w:val="004B337C"/>
    <w:rPr>
      <w:color w:val="467886" w:themeColor="hyperlink"/>
      <w:u w:val="single"/>
    </w:rPr>
  </w:style>
  <w:style w:type="character" w:customStyle="1" w:styleId="UnresolvedMention1">
    <w:name w:val="Unresolved Mention1"/>
    <w:basedOn w:val="DefaultParagraphFont"/>
    <w:uiPriority w:val="99"/>
    <w:semiHidden/>
    <w:unhideWhenUsed/>
    <w:rsid w:val="004B337C"/>
    <w:rPr>
      <w:color w:val="605E5C"/>
      <w:shd w:val="clear" w:color="auto" w:fill="E1DFDD"/>
    </w:rPr>
  </w:style>
  <w:style w:type="paragraph" w:styleId="Revision">
    <w:name w:val="Revision"/>
    <w:hidden/>
    <w:uiPriority w:val="99"/>
    <w:semiHidden/>
    <w:rsid w:val="00145EC3"/>
    <w:pPr>
      <w:spacing w:after="0" w:line="240" w:lineRule="auto"/>
    </w:pPr>
  </w:style>
  <w:style w:type="character" w:styleId="FollowedHyperlink">
    <w:name w:val="FollowedHyperlink"/>
    <w:basedOn w:val="DefaultParagraphFont"/>
    <w:uiPriority w:val="99"/>
    <w:semiHidden/>
    <w:unhideWhenUsed/>
    <w:rsid w:val="005D6A3A"/>
    <w:rPr>
      <w:color w:val="96607D" w:themeColor="followedHyperlink"/>
      <w:u w:val="single"/>
    </w:rPr>
  </w:style>
  <w:style w:type="character" w:styleId="UnresolvedMention">
    <w:name w:val="Unresolved Mention"/>
    <w:basedOn w:val="DefaultParagraphFont"/>
    <w:uiPriority w:val="99"/>
    <w:rsid w:val="000D7B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ediaroom@samtec.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amtec.com/media-room" TargetMode="External"/><Relationship Id="rId5" Type="http://schemas.openxmlformats.org/officeDocument/2006/relationships/hyperlink" Target="http://www.samtec.com"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973d5fe-5312-4a89-ad5f-2e3553b61012}" enabled="1" method="Standard" siteId="{9943a816-2cec-4883-855e-09a8c36108af}"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2</Pages>
  <Words>744</Words>
  <Characters>4538</Characters>
  <Application>Microsoft Office Word</Application>
  <DocSecurity>0</DocSecurity>
  <Lines>88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 Boesing</dc:creator>
  <cp:lastModifiedBy>Patrick Mannion</cp:lastModifiedBy>
  <cp:revision>11</cp:revision>
  <dcterms:created xsi:type="dcterms:W3CDTF">2026-07-21T10:25:00Z</dcterms:created>
  <dcterms:modified xsi:type="dcterms:W3CDTF">2026-07-23T20:04:00Z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954ee255-14a6-402f-ba2a-5e909088bd86</vt:lpwstr>
  </property>
</Properties>
</file>